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09" w:rsidRPr="00786309" w:rsidRDefault="00C85460" w:rsidP="00C85460">
      <w:pPr>
        <w:pStyle w:val="FSC-normal"/>
        <w:ind w:right="-142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Žiadosť o vydanie </w:t>
      </w:r>
      <w:r w:rsidRPr="00786309">
        <w:rPr>
          <w:rFonts w:asciiTheme="minorHAnsi" w:hAnsiTheme="minorHAnsi"/>
          <w:b/>
          <w:sz w:val="28"/>
        </w:rPr>
        <w:t>povoleni</w:t>
      </w:r>
      <w:r>
        <w:rPr>
          <w:rFonts w:asciiTheme="minorHAnsi" w:hAnsiTheme="minorHAnsi"/>
          <w:b/>
          <w:sz w:val="28"/>
        </w:rPr>
        <w:t>a</w:t>
      </w:r>
      <w:r w:rsidRPr="00786309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 xml:space="preserve">- </w:t>
      </w:r>
      <w:r w:rsidR="00786309" w:rsidRPr="00786309">
        <w:rPr>
          <w:rFonts w:asciiTheme="minorHAnsi" w:hAnsiTheme="minorHAnsi"/>
          <w:b/>
          <w:sz w:val="28"/>
        </w:rPr>
        <w:t>PREPRAV</w:t>
      </w:r>
      <w:r>
        <w:rPr>
          <w:rFonts w:asciiTheme="minorHAnsi" w:hAnsiTheme="minorHAnsi"/>
          <w:b/>
          <w:sz w:val="28"/>
        </w:rPr>
        <w:t>A</w:t>
      </w:r>
      <w:r w:rsidR="00786309" w:rsidRPr="00786309">
        <w:rPr>
          <w:rFonts w:asciiTheme="minorHAnsi" w:hAnsiTheme="minorHAnsi"/>
          <w:b/>
          <w:sz w:val="28"/>
        </w:rPr>
        <w:t xml:space="preserve"> RÁDIOAKTÍVNYCH MATERIÁLOV </w:t>
      </w:r>
    </w:p>
    <w:p w:rsidR="00786309" w:rsidRPr="00827006" w:rsidRDefault="00786309" w:rsidP="00786309">
      <w:pPr>
        <w:pStyle w:val="FSC-normal"/>
        <w:pBdr>
          <w:bottom w:val="single" w:sz="4" w:space="1" w:color="auto"/>
        </w:pBdr>
        <w:rPr>
          <w:rFonts w:asciiTheme="minorHAnsi" w:hAnsiTheme="minorHAnsi"/>
          <w:b/>
          <w:sz w:val="32"/>
        </w:rPr>
      </w:pPr>
      <w:r w:rsidRPr="004E3C53">
        <w:rPr>
          <w:rFonts w:asciiTheme="minorHAnsi" w:hAnsiTheme="minorHAnsi"/>
          <w:sz w:val="22"/>
        </w:rPr>
        <w:t xml:space="preserve">podľa § </w:t>
      </w:r>
      <w:r>
        <w:rPr>
          <w:rFonts w:asciiTheme="minorHAnsi" w:hAnsiTheme="minorHAnsi"/>
          <w:sz w:val="22"/>
        </w:rPr>
        <w:t>163</w:t>
      </w:r>
      <w:r w:rsidRPr="004E3C53">
        <w:rPr>
          <w:rFonts w:asciiTheme="minorHAnsi" w:hAnsiTheme="minorHAnsi"/>
          <w:sz w:val="22"/>
        </w:rPr>
        <w:t xml:space="preserve"> ods.</w:t>
      </w:r>
      <w:r>
        <w:rPr>
          <w:rFonts w:asciiTheme="minorHAnsi" w:hAnsiTheme="minorHAnsi"/>
          <w:sz w:val="22"/>
        </w:rPr>
        <w:t xml:space="preserve"> 5</w:t>
      </w:r>
      <w:r w:rsidRPr="004E3C53">
        <w:rPr>
          <w:rFonts w:asciiTheme="minorHAnsi" w:hAnsiTheme="minorHAnsi"/>
          <w:sz w:val="22"/>
        </w:rPr>
        <w:t xml:space="preserve"> </w:t>
      </w:r>
      <w:r w:rsidRPr="004E3C53">
        <w:rPr>
          <w:rFonts w:asciiTheme="minorHAnsi" w:hAnsiTheme="minorHAnsi"/>
          <w:iCs/>
          <w:sz w:val="22"/>
          <w:szCs w:val="24"/>
          <w:lang w:eastAsia="cs-CZ"/>
        </w:rPr>
        <w:t>zákona č. 87/2018 Z. z. o radiačnej ochrane</w:t>
      </w:r>
    </w:p>
    <w:p w:rsidR="009875F8" w:rsidRPr="00C85460" w:rsidRDefault="00C85460" w:rsidP="003B6CDD">
      <w:pPr>
        <w:pStyle w:val="FSC-normal"/>
        <w:rPr>
          <w:rFonts w:asciiTheme="minorHAnsi" w:hAnsiTheme="minorHAnsi"/>
          <w:b/>
          <w:color w:val="7F7F7F" w:themeColor="text1" w:themeTint="80"/>
          <w:sz w:val="28"/>
          <w:lang w:val="en-US"/>
        </w:rPr>
      </w:pPr>
      <w:r w:rsidRPr="00C85460">
        <w:rPr>
          <w:rFonts w:asciiTheme="minorHAnsi" w:hAnsiTheme="minorHAnsi"/>
          <w:b/>
          <w:color w:val="7F7F7F" w:themeColor="text1" w:themeTint="80"/>
          <w:sz w:val="28"/>
          <w:lang w:val="en-US"/>
        </w:rPr>
        <w:t>Application Form - TRANSPORT OF RADIOACTIVE MATERIAL</w:t>
      </w:r>
    </w:p>
    <w:p w:rsidR="00530B1D" w:rsidRPr="00C85460" w:rsidRDefault="00530B1D" w:rsidP="00786309">
      <w:pPr>
        <w:pStyle w:val="FSC-normal"/>
        <w:rPr>
          <w:rFonts w:asciiTheme="minorHAnsi" w:hAnsiTheme="minorHAnsi"/>
          <w:color w:val="7F7F7F" w:themeColor="text1" w:themeTint="80"/>
          <w:sz w:val="22"/>
          <w:lang w:val="en-US"/>
        </w:rPr>
        <w:sectPr w:rsidR="00530B1D" w:rsidRPr="00C85460" w:rsidSect="00C03FD4">
          <w:pgSz w:w="11906" w:h="16838"/>
          <w:pgMar w:top="709" w:right="1417" w:bottom="1417" w:left="1417" w:header="708" w:footer="306" w:gutter="0"/>
          <w:cols w:space="708"/>
          <w:docGrid w:linePitch="360"/>
        </w:sectPr>
      </w:pPr>
    </w:p>
    <w:p w:rsidR="00C03FD4" w:rsidRPr="00C85460" w:rsidRDefault="00C03FD4" w:rsidP="00786309">
      <w:pPr>
        <w:pStyle w:val="FSC-normal"/>
        <w:rPr>
          <w:rFonts w:asciiTheme="minorHAnsi" w:hAnsiTheme="minorHAnsi"/>
          <w:color w:val="7F7F7F" w:themeColor="text1" w:themeTint="80"/>
          <w:sz w:val="6"/>
          <w:lang w:val="en-US"/>
        </w:rPr>
      </w:pPr>
    </w:p>
    <w:p w:rsidR="00846088" w:rsidRPr="00C85460" w:rsidRDefault="00C85460" w:rsidP="003B6CDD">
      <w:pPr>
        <w:pStyle w:val="FSC-normal"/>
        <w:rPr>
          <w:rFonts w:asciiTheme="minorHAnsi" w:hAnsiTheme="minorHAnsi"/>
          <w:color w:val="7F7F7F" w:themeColor="text1" w:themeTint="80"/>
          <w:sz w:val="22"/>
          <w:lang w:val="en-US"/>
        </w:rPr>
      </w:pPr>
      <w:r w:rsidRPr="00C85460">
        <w:rPr>
          <w:rFonts w:asciiTheme="minorHAnsi" w:hAnsiTheme="minorHAnsi"/>
          <w:color w:val="7F7F7F" w:themeColor="text1" w:themeTint="80"/>
          <w:sz w:val="22"/>
          <w:lang w:val="en-US"/>
        </w:rPr>
        <w:t>In</w:t>
      </w:r>
      <w:r w:rsidR="009A0D77" w:rsidRPr="00C85460">
        <w:rPr>
          <w:rFonts w:asciiTheme="minorHAnsi" w:hAnsiTheme="minorHAnsi"/>
          <w:color w:val="7F7F7F" w:themeColor="text1" w:themeTint="80"/>
          <w:sz w:val="22"/>
          <w:lang w:val="en-US"/>
        </w:rPr>
        <w:t xml:space="preserve"> accordance with Act. No. 87/2018 Coll. On Radiation Protection</w:t>
      </w:r>
    </w:p>
    <w:p w:rsidR="00530B1D" w:rsidRPr="00B07275" w:rsidRDefault="00530B1D" w:rsidP="00786309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530B1D" w:rsidRPr="00B07275" w:rsidSect="00C03FD4">
          <w:type w:val="continuous"/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</w:p>
    <w:p w:rsidR="0092168C" w:rsidRPr="004E3C53" w:rsidRDefault="0092168C" w:rsidP="00786309">
      <w:pPr>
        <w:pStyle w:val="FSC-normal"/>
        <w:spacing w:line="276" w:lineRule="auto"/>
        <w:jc w:val="center"/>
        <w:rPr>
          <w:rFonts w:asciiTheme="minorHAnsi" w:hAnsiTheme="minorHAnsi"/>
          <w:b/>
          <w:bCs/>
          <w:sz w:val="16"/>
          <w:szCs w:val="24"/>
        </w:rPr>
      </w:pPr>
    </w:p>
    <w:tbl>
      <w:tblPr>
        <w:tblStyle w:val="Mriekatabuky"/>
        <w:tblW w:w="9214" w:type="dxa"/>
        <w:tblInd w:w="-15" w:type="dxa"/>
        <w:tblLook w:val="04A0" w:firstRow="1" w:lastRow="0" w:firstColumn="1" w:lastColumn="0" w:noHBand="0" w:noVBand="1"/>
      </w:tblPr>
      <w:tblGrid>
        <w:gridCol w:w="9214"/>
      </w:tblGrid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9A0D77" w:rsidRDefault="009875F8" w:rsidP="00C85460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9875F8">
              <w:rPr>
                <w:rFonts w:asciiTheme="minorHAnsi" w:hAnsiTheme="minorHAnsi"/>
                <w:b/>
              </w:rPr>
              <w:t>Obchodné meno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 xml:space="preserve">/ Company </w:t>
            </w:r>
            <w:r w:rsidR="00C85460">
              <w:rPr>
                <w:rFonts w:asciiTheme="minorHAnsi" w:hAnsiTheme="minorHAnsi"/>
              </w:rPr>
              <w:t>N</w:t>
            </w:r>
            <w:r w:rsidR="009A0D77">
              <w:rPr>
                <w:rFonts w:asciiTheme="minorHAnsi" w:hAnsiTheme="minorHAnsi"/>
              </w:rPr>
              <w:t>ame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9A0D77" w:rsidRDefault="004D0D7E" w:rsidP="00C85460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Právna forma</w:t>
            </w:r>
            <w:r w:rsidR="009A0D77">
              <w:rPr>
                <w:rFonts w:asciiTheme="minorHAnsi" w:hAnsiTheme="minorHAnsi"/>
              </w:rPr>
              <w:t xml:space="preserve"> / </w:t>
            </w:r>
            <w:r w:rsidR="00C85460">
              <w:rPr>
                <w:rFonts w:asciiTheme="minorHAnsi" w:hAnsiTheme="minorHAnsi"/>
              </w:rPr>
              <w:t>L</w:t>
            </w:r>
            <w:r w:rsidR="009A0D77">
              <w:rPr>
                <w:rFonts w:asciiTheme="minorHAnsi" w:hAnsiTheme="minorHAnsi"/>
              </w:rPr>
              <w:t xml:space="preserve">egal </w:t>
            </w:r>
            <w:r w:rsidR="00C85460">
              <w:rPr>
                <w:rFonts w:asciiTheme="minorHAnsi" w:hAnsiTheme="minorHAnsi"/>
              </w:rPr>
              <w:t>F</w:t>
            </w:r>
            <w:r w:rsidR="009A0D77">
              <w:rPr>
                <w:rFonts w:asciiTheme="minorHAnsi" w:hAnsiTheme="minorHAnsi"/>
              </w:rPr>
              <w:t>orm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9A0D77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Sídlo 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>/ Address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006" w:rsidRPr="00827006" w:rsidRDefault="00827006" w:rsidP="003B6CDD">
            <w:pPr>
              <w:ind w:left="318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Korešpondenčná adresa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 xml:space="preserve">/ </w:t>
            </w:r>
            <w:r w:rsidR="003B6CDD">
              <w:rPr>
                <w:rFonts w:asciiTheme="minorHAnsi" w:hAnsiTheme="minorHAnsi"/>
              </w:rPr>
              <w:t>C</w:t>
            </w:r>
            <w:r w:rsidR="003B6CDD" w:rsidRPr="009A0D77">
              <w:rPr>
                <w:rFonts w:asciiTheme="minorHAnsi" w:hAnsiTheme="minorHAnsi"/>
              </w:rPr>
              <w:t>orrespondence</w:t>
            </w:r>
            <w:r w:rsidR="003B6CDD">
              <w:rPr>
                <w:rFonts w:asciiTheme="minorHAnsi" w:hAnsiTheme="minorHAnsi"/>
              </w:rPr>
              <w:t xml:space="preserve"> </w:t>
            </w:r>
            <w:r w:rsidR="003B6CDD">
              <w:rPr>
                <w:rFonts w:asciiTheme="minorHAnsi" w:hAnsiTheme="minorHAnsi"/>
              </w:rPr>
              <w:t>a</w:t>
            </w:r>
            <w:r w:rsidR="009A0D77" w:rsidRPr="009A0D77">
              <w:rPr>
                <w:rFonts w:asciiTheme="minorHAnsi" w:hAnsiTheme="minorHAnsi"/>
              </w:rPr>
              <w:t xml:space="preserve">ddress </w:t>
            </w:r>
            <w:r w:rsidR="009A0D77">
              <w:rPr>
                <w:rFonts w:asciiTheme="minorHAnsi" w:hAnsiTheme="minorHAnsi"/>
              </w:rPr>
              <w:t>if different</w:t>
            </w:r>
            <w:r>
              <w:rPr>
                <w:rFonts w:asciiTheme="minorHAnsi" w:hAnsiTheme="minorHAnsi"/>
                <w:b/>
              </w:rPr>
              <w:t xml:space="preserve">        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           </w:t>
            </w: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006" w:rsidRDefault="00827006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9A0D77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 w:rsidR="00827006">
              <w:rPr>
                <w:rFonts w:asciiTheme="minorHAnsi" w:hAnsiTheme="minorHAnsi"/>
                <w:b/>
              </w:rPr>
              <w:t xml:space="preserve"> (IČO)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>/ VAT number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9A0D77" w:rsidRDefault="004D0D7E" w:rsidP="009A0D7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Miesto výkonu činnosti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>/ Place of transport activities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9A0D77" w:rsidP="00C85460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Územie Slovenskej republiky (</w:t>
            </w:r>
            <w:r w:rsidR="00C85460">
              <w:rPr>
                <w:rFonts w:asciiTheme="minorHAnsi" w:hAnsiTheme="minorHAnsi"/>
              </w:rPr>
              <w:t>territory</w:t>
            </w:r>
            <w:r w:rsidR="00C85460">
              <w:rPr>
                <w:rFonts w:asciiTheme="minorHAnsi" w:hAnsiTheme="minorHAnsi"/>
              </w:rPr>
              <w:t xml:space="preserve"> of </w:t>
            </w:r>
            <w:r>
              <w:rPr>
                <w:rFonts w:asciiTheme="minorHAnsi" w:hAnsiTheme="minorHAnsi"/>
              </w:rPr>
              <w:t>Slovak Republic)</w:t>
            </w: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4D0D7E" w:rsidP="009A0D7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Štatutárny orgán 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  <w:r w:rsidR="009A0D77">
              <w:rPr>
                <w:rFonts w:asciiTheme="minorHAnsi" w:hAnsiTheme="minorHAnsi"/>
              </w:rPr>
              <w:t xml:space="preserve"> / Statutory body (name, address)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4D0D7E" w:rsidP="009A0D7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Odborný zástupca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bydlisko)</w:t>
            </w:r>
            <w:r w:rsidR="009A0D77">
              <w:rPr>
                <w:rFonts w:asciiTheme="minorHAnsi" w:hAnsiTheme="minorHAnsi"/>
              </w:rPr>
              <w:t xml:space="preserve"> / Radiation Protection Officer (name, address)</w:t>
            </w:r>
          </w:p>
        </w:tc>
      </w:tr>
      <w:tr w:rsidR="00846088" w:rsidRPr="00B07275" w:rsidTr="00C85460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006" w:rsidRPr="009A0D77" w:rsidRDefault="00827006" w:rsidP="00827006">
            <w:pPr>
              <w:ind w:left="318"/>
              <w:rPr>
                <w:rFonts w:asciiTheme="minorHAnsi" w:hAnsiTheme="minorHAnsi"/>
              </w:rPr>
            </w:pPr>
            <w:r w:rsidRPr="00827006">
              <w:rPr>
                <w:rFonts w:asciiTheme="minorHAnsi" w:hAnsiTheme="minorHAnsi"/>
                <w:b/>
              </w:rPr>
              <w:t>Kontaktné údaje odborného zástupcu</w:t>
            </w:r>
            <w:r w:rsidR="009A0D77">
              <w:rPr>
                <w:rFonts w:asciiTheme="minorHAnsi" w:hAnsiTheme="minorHAnsi"/>
                <w:b/>
              </w:rPr>
              <w:t xml:space="preserve"> </w:t>
            </w:r>
            <w:r w:rsidR="009A0D77">
              <w:rPr>
                <w:rFonts w:asciiTheme="minorHAnsi" w:hAnsiTheme="minorHAnsi"/>
              </w:rPr>
              <w:t>/ Contact of Radiation Protection Officer</w:t>
            </w: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006" w:rsidRDefault="00827006" w:rsidP="009A0D77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9A0D77">
              <w:rPr>
                <w:rFonts w:asciiTheme="minorHAnsi" w:hAnsiTheme="minorHAnsi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/>
              </w:rPr>
              <w:t>Telefón:</w:t>
            </w:r>
            <w:r w:rsidR="002370F6">
              <w:rPr>
                <w:rFonts w:asciiTheme="minorHAnsi" w:hAnsiTheme="minorHAnsi"/>
              </w:rPr>
              <w:t xml:space="preserve"> </w:t>
            </w: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006" w:rsidRDefault="004E3C53" w:rsidP="009875F8">
            <w:pPr>
              <w:ind w:left="31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827006" w:rsidRPr="00B07275">
              <w:rPr>
                <w:rFonts w:asciiTheme="minorHAnsi" w:hAnsiTheme="minorHAnsi"/>
                <w:b/>
              </w:rPr>
              <w:t>ovolenie</w:t>
            </w:r>
            <w:r>
              <w:rPr>
                <w:rFonts w:asciiTheme="minorHAnsi" w:hAnsiTheme="minorHAnsi"/>
                <w:b/>
              </w:rPr>
              <w:t xml:space="preserve"> na prepravu rádioaktívnych materiálov </w:t>
            </w:r>
            <w:r w:rsidR="009875F8">
              <w:rPr>
                <w:rFonts w:asciiTheme="minorHAnsi" w:hAnsiTheme="minorHAnsi"/>
                <w:b/>
              </w:rPr>
              <w:t>v rozsahu</w:t>
            </w:r>
            <w:r w:rsidR="000F7896">
              <w:rPr>
                <w:rFonts w:asciiTheme="minorHAnsi" w:hAnsiTheme="minorHAnsi"/>
                <w:b/>
              </w:rPr>
              <w:t xml:space="preserve"> </w:t>
            </w:r>
            <w:r w:rsidR="009875F8">
              <w:rPr>
                <w:rFonts w:asciiTheme="minorHAnsi" w:hAnsiTheme="minorHAnsi"/>
                <w:b/>
              </w:rPr>
              <w:t xml:space="preserve">týchto </w:t>
            </w:r>
            <w:r w:rsidR="000F7896">
              <w:rPr>
                <w:rFonts w:asciiTheme="minorHAnsi" w:hAnsiTheme="minorHAnsi"/>
                <w:b/>
              </w:rPr>
              <w:t>UN čís</w:t>
            </w:r>
            <w:r w:rsidR="009875F8">
              <w:rPr>
                <w:rFonts w:asciiTheme="minorHAnsi" w:hAnsiTheme="minorHAnsi"/>
                <w:b/>
              </w:rPr>
              <w:t>ie</w:t>
            </w:r>
            <w:r w:rsidR="000F7896">
              <w:rPr>
                <w:rFonts w:asciiTheme="minorHAnsi" w:hAnsiTheme="minorHAnsi"/>
                <w:b/>
              </w:rPr>
              <w:t>l</w:t>
            </w:r>
          </w:p>
          <w:p w:rsidR="009A0D77" w:rsidRPr="009A0D77" w:rsidRDefault="009A0D77" w:rsidP="00C85460">
            <w:pPr>
              <w:ind w:left="31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of UN numbers for Class 7 to be transported</w:t>
            </w:r>
          </w:p>
        </w:tc>
      </w:tr>
      <w:tr w:rsidR="00827006" w:rsidRPr="00B07275" w:rsidTr="00C85460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050" w:rsidRPr="00B07275" w:rsidRDefault="00705050" w:rsidP="002370F6">
            <w:pPr>
              <w:ind w:left="318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C03FD4" w:rsidRPr="00B07275" w:rsidRDefault="00325A15" w:rsidP="00C03FD4">
      <w:pPr>
        <w:tabs>
          <w:tab w:val="left" w:pos="1725"/>
        </w:tabs>
        <w:spacing w:before="240"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Miesto a</w:t>
      </w:r>
      <w:r w:rsidR="009A0D77">
        <w:rPr>
          <w:rFonts w:asciiTheme="minorHAnsi" w:hAnsiTheme="minorHAnsi"/>
        </w:rPr>
        <w:t> </w:t>
      </w:r>
      <w:r>
        <w:rPr>
          <w:rFonts w:asciiTheme="minorHAnsi" w:hAnsiTheme="minorHAnsi"/>
        </w:rPr>
        <w:t>dátum</w:t>
      </w:r>
      <w:r w:rsidR="003B6CDD">
        <w:rPr>
          <w:rFonts w:asciiTheme="minorHAnsi" w:hAnsiTheme="minorHAnsi"/>
        </w:rPr>
        <w:t xml:space="preserve"> (p</w:t>
      </w:r>
      <w:r w:rsidR="009A0D77">
        <w:rPr>
          <w:rFonts w:asciiTheme="minorHAnsi" w:hAnsiTheme="minorHAnsi"/>
        </w:rPr>
        <w:t>lace and date)</w:t>
      </w:r>
      <w:r w:rsidR="00C03FD4">
        <w:rPr>
          <w:rFonts w:asciiTheme="minorHAnsi" w:hAnsiTheme="minorHAnsi"/>
        </w:rPr>
        <w:t xml:space="preserve">: </w:t>
      </w:r>
    </w:p>
    <w:p w:rsidR="004E3C53" w:rsidRDefault="004E3C53" w:rsidP="004E3C53">
      <w:pPr>
        <w:tabs>
          <w:tab w:val="left" w:pos="1725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</w:rPr>
        <w:t>...........................</w:t>
      </w:r>
      <w:r w:rsidR="004E3C53">
        <w:rPr>
          <w:rFonts w:asciiTheme="minorHAnsi" w:hAnsiTheme="minorHAnsi"/>
        </w:rPr>
        <w:t>...............................</w:t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C85460" w:rsidRDefault="00C03FD4" w:rsidP="009A0D77">
      <w:pPr>
        <w:tabs>
          <w:tab w:val="left" w:pos="1725"/>
        </w:tabs>
        <w:ind w:left="5529"/>
        <w:jc w:val="center"/>
        <w:rPr>
          <w:rFonts w:asciiTheme="minorHAnsi" w:hAnsiTheme="minorHAnsi"/>
          <w:color w:val="A6A6A6" w:themeColor="background1" w:themeShade="A6"/>
          <w:sz w:val="18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</w:t>
      </w:r>
      <w:r w:rsidR="009A0D77">
        <w:rPr>
          <w:rFonts w:asciiTheme="minorHAnsi" w:hAnsiTheme="minorHAnsi"/>
          <w:color w:val="A6A6A6" w:themeColor="background1" w:themeShade="A6"/>
          <w:sz w:val="18"/>
        </w:rPr>
        <w:t>signature of statutory body</w:t>
      </w:r>
      <w:r w:rsidRPr="00B07275">
        <w:rPr>
          <w:rFonts w:asciiTheme="minorHAnsi" w:hAnsiTheme="minorHAnsi"/>
          <w:color w:val="A6A6A6" w:themeColor="background1" w:themeShade="A6"/>
          <w:sz w:val="18"/>
        </w:rPr>
        <w:t>)</w:t>
      </w:r>
    </w:p>
    <w:p w:rsidR="00C85460" w:rsidRDefault="00C85460">
      <w:pPr>
        <w:rPr>
          <w:rFonts w:asciiTheme="minorHAnsi" w:hAnsiTheme="minorHAnsi"/>
          <w:color w:val="A6A6A6" w:themeColor="background1" w:themeShade="A6"/>
          <w:sz w:val="18"/>
        </w:rPr>
      </w:pPr>
      <w:r>
        <w:rPr>
          <w:rFonts w:asciiTheme="minorHAnsi" w:hAnsiTheme="minorHAnsi"/>
          <w:color w:val="A6A6A6" w:themeColor="background1" w:themeShade="A6"/>
          <w:sz w:val="18"/>
        </w:rPr>
        <w:br w:type="page"/>
      </w:r>
    </w:p>
    <w:p w:rsidR="00D20A49" w:rsidRDefault="00C85460" w:rsidP="003B6CDD">
      <w:pPr>
        <w:pBdr>
          <w:bottom w:val="single" w:sz="4" w:space="1" w:color="auto"/>
        </w:pBdr>
        <w:tabs>
          <w:tab w:val="left" w:pos="1725"/>
        </w:tabs>
        <w:rPr>
          <w:rFonts w:asciiTheme="minorHAnsi" w:hAnsiTheme="minorHAnsi"/>
          <w:b/>
          <w:color w:val="7F7F7F" w:themeColor="text1" w:themeTint="80"/>
        </w:rPr>
      </w:pPr>
      <w:r>
        <w:rPr>
          <w:rFonts w:asciiTheme="minorHAnsi" w:hAnsiTheme="minorHAnsi"/>
          <w:b/>
        </w:rPr>
        <w:lastRenderedPageBreak/>
        <w:t>PRÍLOHY</w:t>
      </w:r>
      <w:r w:rsidRPr="00C85460">
        <w:rPr>
          <w:rFonts w:asciiTheme="minorHAnsi" w:hAnsiTheme="minorHAnsi"/>
          <w:b/>
          <w:color w:val="7F7F7F" w:themeColor="text1" w:themeTint="80"/>
        </w:rPr>
        <w:t>/ATTACHMENTS</w:t>
      </w:r>
    </w:p>
    <w:p w:rsidR="003B6CDD" w:rsidRDefault="003B6CDD" w:rsidP="003B6CDD">
      <w:pPr>
        <w:tabs>
          <w:tab w:val="left" w:pos="1725"/>
        </w:tabs>
        <w:spacing w:after="0"/>
        <w:rPr>
          <w:rFonts w:asciiTheme="minorHAnsi" w:hAnsiTheme="minorHAnsi"/>
          <w:b/>
          <w:color w:val="7F7F7F" w:themeColor="text1" w:themeTint="80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Charakteristika plánovanej činnosti vedúcej k ožiareniu a popis technického vybavenia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Characteristics of the planned activities leading to ionizing radiation exposures and description of the technical equipment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Odôvodnenie prepravy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Justification of the transport of radioactive material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Prepravný poriadok a opatrenia na zabezpečenie radiačnej ochrany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 xml:space="preserve">Transport </w:t>
      </w:r>
      <w:r w:rsidR="003B6CDD">
        <w:rPr>
          <w:b w:val="0"/>
          <w:i w:val="0"/>
          <w:color w:val="7F7F7F" w:themeColor="text1" w:themeTint="80"/>
          <w:lang w:val="en-GB"/>
        </w:rPr>
        <w:t>o</w:t>
      </w:r>
      <w:r w:rsidRPr="00C85460">
        <w:rPr>
          <w:b w:val="0"/>
          <w:i w:val="0"/>
          <w:color w:val="7F7F7F" w:themeColor="text1" w:themeTint="80"/>
          <w:lang w:val="en-GB"/>
        </w:rPr>
        <w:t>rder and radiation protection measures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Opis technického vybavenia na zabezpečenie prepravy vrátane nakladania a vykladania zásielky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 xml:space="preserve">Description of the technical equipment for ensuring the transport including the equipment for shipment loading and unloading 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Hodnotenie rizík vyplývajúcich z charakteru prepravovaných rádioaktívnych látok, spôsobu a trasy prepravy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 xml:space="preserve">Risk evaluation based on transported radioactive material, means of transport and </w:t>
      </w:r>
      <w:r w:rsidRPr="00C85460">
        <w:rPr>
          <w:b w:val="0"/>
          <w:i w:val="0"/>
          <w:color w:val="7F7F7F" w:themeColor="text1" w:themeTint="80"/>
          <w:lang w:val="en-GB"/>
        </w:rPr>
        <w:t>route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Havarijný plán na prepravu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Transport Emergency Response Plan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Doklady o obalových súboroch</w:t>
      </w:r>
      <w:r w:rsidRPr="00C85460">
        <w:rPr>
          <w:i w:val="0"/>
          <w:color w:val="auto"/>
          <w:lang w:val="en-GB"/>
        </w:rPr>
        <w:t xml:space="preserve"> 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Transport packages certificates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Doklady o spôsobilosti dopravných prostriedkov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 xml:space="preserve">List of vehicles and copies of vehicle registration certificates  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Doklady o spôsobilosti obsluhy dopravných prostriedkov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List of qualified drivers and copies of their ADR certificates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Doklady odborného zástupcu na prepravu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Radiation Protection Officer Certificate</w:t>
      </w:r>
    </w:p>
    <w:p w:rsidR="00C85460" w:rsidRPr="00C85460" w:rsidRDefault="00C85460" w:rsidP="00C85460">
      <w:pPr>
        <w:spacing w:after="0"/>
        <w:rPr>
          <w:lang w:val="en-GB"/>
        </w:rPr>
      </w:pPr>
    </w:p>
    <w:p w:rsidR="00C85460" w:rsidRPr="00C85460" w:rsidRDefault="00C85460" w:rsidP="00C85460">
      <w:pPr>
        <w:pStyle w:val="Zvraznencitcia"/>
        <w:numPr>
          <w:ilvl w:val="0"/>
          <w:numId w:val="19"/>
        </w:numPr>
        <w:pBdr>
          <w:bottom w:val="none" w:sz="0" w:space="0" w:color="auto"/>
        </w:pBdr>
        <w:spacing w:before="0" w:after="0"/>
        <w:ind w:right="0"/>
        <w:jc w:val="both"/>
        <w:rPr>
          <w:i w:val="0"/>
          <w:color w:val="auto"/>
          <w:lang w:val="en-GB"/>
        </w:rPr>
      </w:pPr>
      <w:r w:rsidRPr="00C85460">
        <w:rPr>
          <w:i w:val="0"/>
          <w:color w:val="auto"/>
          <w:lang w:val="en-GB"/>
        </w:rPr>
        <w:t>Plán zaistenia bezpečnosti rádioaktívneho materiálu pri preprave</w:t>
      </w:r>
    </w:p>
    <w:p w:rsidR="00C85460" w:rsidRPr="00C85460" w:rsidRDefault="00C85460" w:rsidP="00C85460">
      <w:pPr>
        <w:pStyle w:val="Zvraznencitcia"/>
        <w:pBdr>
          <w:bottom w:val="none" w:sz="0" w:space="0" w:color="auto"/>
        </w:pBdr>
        <w:spacing w:before="0" w:after="0"/>
        <w:ind w:left="720" w:right="0"/>
        <w:jc w:val="both"/>
        <w:rPr>
          <w:b w:val="0"/>
          <w:i w:val="0"/>
          <w:color w:val="7F7F7F" w:themeColor="text1" w:themeTint="80"/>
          <w:lang w:val="en-GB"/>
        </w:rPr>
      </w:pPr>
      <w:r w:rsidRPr="00C85460">
        <w:rPr>
          <w:b w:val="0"/>
          <w:i w:val="0"/>
          <w:color w:val="7F7F7F" w:themeColor="text1" w:themeTint="80"/>
          <w:lang w:val="en-GB"/>
        </w:rPr>
        <w:t>Transport Security Plan</w:t>
      </w:r>
    </w:p>
    <w:p w:rsidR="00C85460" w:rsidRDefault="00C85460" w:rsidP="00C85460">
      <w:pPr>
        <w:tabs>
          <w:tab w:val="left" w:pos="1725"/>
        </w:tabs>
        <w:rPr>
          <w:rFonts w:asciiTheme="minorHAnsi" w:hAnsiTheme="minorHAnsi"/>
        </w:rPr>
      </w:pPr>
    </w:p>
    <w:p w:rsidR="00C85460" w:rsidRPr="00B07275" w:rsidRDefault="00C85460" w:rsidP="00C85460">
      <w:pPr>
        <w:tabs>
          <w:tab w:val="left" w:pos="1725"/>
        </w:tabs>
        <w:rPr>
          <w:rFonts w:asciiTheme="minorHAnsi" w:hAnsiTheme="minorHAnsi"/>
        </w:rPr>
      </w:pPr>
    </w:p>
    <w:sectPr w:rsidR="00C85460" w:rsidRPr="00B07275" w:rsidSect="00786309">
      <w:type w:val="continuous"/>
      <w:pgSz w:w="11906" w:h="16838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D8" w:rsidRDefault="008661D8" w:rsidP="006E1ABD">
      <w:pPr>
        <w:spacing w:after="0" w:line="240" w:lineRule="auto"/>
      </w:pPr>
      <w:r>
        <w:separator/>
      </w:r>
    </w:p>
  </w:endnote>
  <w:endnote w:type="continuationSeparator" w:id="0">
    <w:p w:rsidR="008661D8" w:rsidRDefault="008661D8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D8" w:rsidRDefault="008661D8" w:rsidP="006E1ABD">
      <w:pPr>
        <w:spacing w:after="0" w:line="240" w:lineRule="auto"/>
      </w:pPr>
      <w:r>
        <w:separator/>
      </w:r>
    </w:p>
  </w:footnote>
  <w:footnote w:type="continuationSeparator" w:id="0">
    <w:p w:rsidR="008661D8" w:rsidRDefault="008661D8" w:rsidP="006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AAB8D4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48A66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BF"/>
    <w:multiLevelType w:val="hybridMultilevel"/>
    <w:tmpl w:val="42EE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F25BF"/>
    <w:rsid w:val="000F7896"/>
    <w:rsid w:val="001666F2"/>
    <w:rsid w:val="00175EBE"/>
    <w:rsid w:val="00194F5B"/>
    <w:rsid w:val="001958DD"/>
    <w:rsid w:val="001B0ACF"/>
    <w:rsid w:val="001E7AB1"/>
    <w:rsid w:val="002370F6"/>
    <w:rsid w:val="00244F4C"/>
    <w:rsid w:val="002A6E18"/>
    <w:rsid w:val="002B3BF0"/>
    <w:rsid w:val="002C758E"/>
    <w:rsid w:val="00302F4A"/>
    <w:rsid w:val="003033D6"/>
    <w:rsid w:val="00325A15"/>
    <w:rsid w:val="00325E8E"/>
    <w:rsid w:val="0033749B"/>
    <w:rsid w:val="00340FED"/>
    <w:rsid w:val="003536A4"/>
    <w:rsid w:val="00356584"/>
    <w:rsid w:val="003B6CDD"/>
    <w:rsid w:val="00434785"/>
    <w:rsid w:val="00437707"/>
    <w:rsid w:val="004662BF"/>
    <w:rsid w:val="004D0D7E"/>
    <w:rsid w:val="004E3C53"/>
    <w:rsid w:val="00530B1D"/>
    <w:rsid w:val="0055440B"/>
    <w:rsid w:val="00560DF9"/>
    <w:rsid w:val="006106E1"/>
    <w:rsid w:val="00642630"/>
    <w:rsid w:val="006930D1"/>
    <w:rsid w:val="006B3E92"/>
    <w:rsid w:val="006B6CC6"/>
    <w:rsid w:val="006D5347"/>
    <w:rsid w:val="006E1ABD"/>
    <w:rsid w:val="006F1334"/>
    <w:rsid w:val="00705050"/>
    <w:rsid w:val="00786309"/>
    <w:rsid w:val="007A07FB"/>
    <w:rsid w:val="007B7450"/>
    <w:rsid w:val="00827006"/>
    <w:rsid w:val="00846088"/>
    <w:rsid w:val="008661D8"/>
    <w:rsid w:val="0088393E"/>
    <w:rsid w:val="008D17C0"/>
    <w:rsid w:val="00912931"/>
    <w:rsid w:val="0092168C"/>
    <w:rsid w:val="009875F8"/>
    <w:rsid w:val="009A0D77"/>
    <w:rsid w:val="009B380D"/>
    <w:rsid w:val="009B393D"/>
    <w:rsid w:val="00A028A3"/>
    <w:rsid w:val="00A03338"/>
    <w:rsid w:val="00A65BD6"/>
    <w:rsid w:val="00AB624F"/>
    <w:rsid w:val="00AE3273"/>
    <w:rsid w:val="00AF48BD"/>
    <w:rsid w:val="00B05BF4"/>
    <w:rsid w:val="00B07275"/>
    <w:rsid w:val="00B33D20"/>
    <w:rsid w:val="00B61A22"/>
    <w:rsid w:val="00BD2723"/>
    <w:rsid w:val="00C03FD4"/>
    <w:rsid w:val="00C85460"/>
    <w:rsid w:val="00CB1A32"/>
    <w:rsid w:val="00CE78CB"/>
    <w:rsid w:val="00D01ED8"/>
    <w:rsid w:val="00D20A49"/>
    <w:rsid w:val="00D37646"/>
    <w:rsid w:val="00D86733"/>
    <w:rsid w:val="00DA2400"/>
    <w:rsid w:val="00E23246"/>
    <w:rsid w:val="00E25D0A"/>
    <w:rsid w:val="00E54388"/>
    <w:rsid w:val="00E670BA"/>
    <w:rsid w:val="00E742EB"/>
    <w:rsid w:val="00ED40A7"/>
    <w:rsid w:val="00EF24DB"/>
    <w:rsid w:val="00F7572D"/>
    <w:rsid w:val="00FA54A0"/>
    <w:rsid w:val="00FA7914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C79B"/>
  <w15:docId w15:val="{11855D95-EC39-4B09-AAA4-CFECD5B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370F6"/>
    <w:rPr>
      <w:color w:val="0000FF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54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546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C5D-654C-49BC-BCB4-0B7E049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Bujnová, Alena</dc:creator>
  <cp:lastModifiedBy>Bujnová, Alena</cp:lastModifiedBy>
  <cp:revision>3</cp:revision>
  <cp:lastPrinted>2019-03-25T09:52:00Z</cp:lastPrinted>
  <dcterms:created xsi:type="dcterms:W3CDTF">2019-07-04T12:13:00Z</dcterms:created>
  <dcterms:modified xsi:type="dcterms:W3CDTF">2019-07-04T12:26:00Z</dcterms:modified>
</cp:coreProperties>
</file>