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843"/>
        <w:gridCol w:w="2126"/>
        <w:gridCol w:w="3828"/>
        <w:gridCol w:w="2550"/>
        <w:gridCol w:w="1134"/>
        <w:gridCol w:w="1134"/>
        <w:gridCol w:w="1276"/>
        <w:gridCol w:w="5246"/>
        <w:gridCol w:w="1276"/>
      </w:tblGrid>
      <w:tr w:rsidR="00A10048" w:rsidRPr="00243E6E" w:rsidTr="000C27AF">
        <w:trPr>
          <w:trHeight w:val="671"/>
          <w:tblHeader/>
        </w:trPr>
        <w:tc>
          <w:tcPr>
            <w:tcW w:w="1686" w:type="dxa"/>
            <w:shd w:val="clear" w:color="auto" w:fill="D8D8D8"/>
          </w:tcPr>
          <w:p w:rsidR="00A10048" w:rsidRPr="00183032" w:rsidRDefault="00E551BD" w:rsidP="00A10048">
            <w:pPr>
              <w:spacing w:before="40" w:after="40"/>
              <w:ind w:left="125" w:right="134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Fáza projektového cyklu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10048" w:rsidRPr="00183032" w:rsidRDefault="001D6247" w:rsidP="00E551BD">
            <w:pPr>
              <w:spacing w:before="40" w:after="40"/>
              <w:ind w:left="136" w:right="1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Tematická oblasť</w:t>
            </w:r>
          </w:p>
        </w:tc>
        <w:tc>
          <w:tcPr>
            <w:tcW w:w="2126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48" w:rsidRPr="00183032" w:rsidRDefault="00A10048" w:rsidP="00BB02BC">
            <w:pPr>
              <w:spacing w:before="40" w:after="40"/>
              <w:rPr>
                <w:b/>
                <w:bCs/>
                <w:iCs/>
                <w:sz w:val="20"/>
                <w:szCs w:val="20"/>
              </w:rPr>
            </w:pPr>
            <w:r w:rsidRPr="00183032">
              <w:rPr>
                <w:b/>
                <w:iCs/>
                <w:sz w:val="20"/>
                <w:szCs w:val="20"/>
              </w:rPr>
              <w:t>Nepriaznivá udalosť</w:t>
            </w:r>
          </w:p>
        </w:tc>
        <w:tc>
          <w:tcPr>
            <w:tcW w:w="3828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48" w:rsidRPr="00183032" w:rsidRDefault="00A10048" w:rsidP="00BB02BC">
            <w:pPr>
              <w:spacing w:before="40" w:after="40"/>
              <w:rPr>
                <w:b/>
                <w:bCs/>
                <w:iCs/>
                <w:sz w:val="20"/>
                <w:szCs w:val="20"/>
              </w:rPr>
            </w:pPr>
            <w:r w:rsidRPr="00183032">
              <w:rPr>
                <w:b/>
                <w:iCs/>
                <w:sz w:val="20"/>
                <w:szCs w:val="20"/>
              </w:rPr>
              <w:t>Popis nepriaznivej udalosti</w:t>
            </w:r>
          </w:p>
        </w:tc>
        <w:tc>
          <w:tcPr>
            <w:tcW w:w="2550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48" w:rsidRPr="00183032" w:rsidRDefault="00A10048" w:rsidP="00BB02BC">
            <w:pPr>
              <w:spacing w:before="40" w:after="40"/>
              <w:rPr>
                <w:b/>
                <w:bCs/>
                <w:iCs/>
                <w:sz w:val="20"/>
                <w:szCs w:val="20"/>
              </w:rPr>
            </w:pPr>
            <w:r w:rsidRPr="00183032">
              <w:rPr>
                <w:b/>
                <w:iCs/>
                <w:sz w:val="20"/>
                <w:szCs w:val="20"/>
              </w:rPr>
              <w:t xml:space="preserve">Vplyv na investíciu </w:t>
            </w:r>
          </w:p>
        </w:tc>
        <w:tc>
          <w:tcPr>
            <w:tcW w:w="1134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48" w:rsidRPr="00183032" w:rsidRDefault="00A10048" w:rsidP="00BB02BC">
            <w:pPr>
              <w:spacing w:before="40" w:after="40"/>
              <w:rPr>
                <w:b/>
                <w:bCs/>
                <w:iCs/>
                <w:sz w:val="20"/>
                <w:szCs w:val="20"/>
              </w:rPr>
            </w:pPr>
            <w:r w:rsidRPr="00183032">
              <w:rPr>
                <w:b/>
                <w:iCs/>
                <w:sz w:val="20"/>
                <w:szCs w:val="20"/>
              </w:rPr>
              <w:t>Pravdepodobnosť</w:t>
            </w:r>
          </w:p>
        </w:tc>
        <w:tc>
          <w:tcPr>
            <w:tcW w:w="1134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48" w:rsidRPr="00183032" w:rsidRDefault="00181352" w:rsidP="00BB02BC">
            <w:pPr>
              <w:spacing w:before="40" w:after="4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Závažnosť</w:t>
            </w:r>
          </w:p>
        </w:tc>
        <w:tc>
          <w:tcPr>
            <w:tcW w:w="1276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48" w:rsidRPr="00183032" w:rsidRDefault="00A10048" w:rsidP="00BB02BC">
            <w:pPr>
              <w:spacing w:before="40" w:after="40"/>
              <w:rPr>
                <w:b/>
                <w:bCs/>
                <w:iCs/>
                <w:sz w:val="20"/>
                <w:szCs w:val="20"/>
              </w:rPr>
            </w:pPr>
            <w:r w:rsidRPr="00183032">
              <w:rPr>
                <w:b/>
                <w:iCs/>
                <w:sz w:val="20"/>
                <w:szCs w:val="20"/>
              </w:rPr>
              <w:t>Miera rizika</w:t>
            </w:r>
          </w:p>
        </w:tc>
        <w:tc>
          <w:tcPr>
            <w:tcW w:w="5246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48" w:rsidRPr="00183032" w:rsidRDefault="00A10048" w:rsidP="00BB02BC">
            <w:pPr>
              <w:spacing w:before="40" w:after="40"/>
              <w:rPr>
                <w:b/>
                <w:bCs/>
                <w:iCs/>
                <w:sz w:val="20"/>
                <w:szCs w:val="20"/>
              </w:rPr>
            </w:pPr>
            <w:r w:rsidRPr="00183032">
              <w:rPr>
                <w:b/>
                <w:iCs/>
                <w:sz w:val="20"/>
                <w:szCs w:val="20"/>
              </w:rPr>
              <w:t xml:space="preserve">Preventívne a/alebo zmierňujúce opatrenia </w:t>
            </w:r>
          </w:p>
        </w:tc>
        <w:tc>
          <w:tcPr>
            <w:tcW w:w="1276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48" w:rsidRPr="00183032" w:rsidRDefault="00A10048" w:rsidP="00BB02BC">
            <w:pPr>
              <w:spacing w:before="40" w:after="40"/>
              <w:rPr>
                <w:b/>
                <w:iCs/>
                <w:sz w:val="20"/>
                <w:szCs w:val="20"/>
              </w:rPr>
            </w:pPr>
            <w:r w:rsidRPr="00183032">
              <w:rPr>
                <w:b/>
                <w:iCs/>
                <w:sz w:val="20"/>
                <w:szCs w:val="20"/>
              </w:rPr>
              <w:t>Zostatkové riziko</w:t>
            </w:r>
          </w:p>
        </w:tc>
      </w:tr>
      <w:tr w:rsidR="00181352" w:rsidRPr="00243E6E" w:rsidTr="000C27AF">
        <w:trPr>
          <w:trHeight w:val="729"/>
        </w:trPr>
        <w:tc>
          <w:tcPr>
            <w:tcW w:w="1686" w:type="dxa"/>
            <w:vMerge w:val="restart"/>
          </w:tcPr>
          <w:p w:rsidR="00181352" w:rsidRPr="00E551BD" w:rsidRDefault="00181352" w:rsidP="00A10048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  <w:r w:rsidRPr="00E551BD">
              <w:rPr>
                <w:bCs/>
                <w:iCs/>
                <w:sz w:val="20"/>
                <w:szCs w:val="20"/>
              </w:rPr>
              <w:t>Projektová príprava</w:t>
            </w:r>
          </w:p>
        </w:tc>
        <w:tc>
          <w:tcPr>
            <w:tcW w:w="1843" w:type="dxa"/>
            <w:vMerge w:val="restart"/>
          </w:tcPr>
          <w:p w:rsidR="00181352" w:rsidRPr="001D6247" w:rsidRDefault="00181352" w:rsidP="00E551B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 w:rsidRPr="001D6247">
              <w:rPr>
                <w:bCs/>
                <w:iCs/>
                <w:sz w:val="20"/>
                <w:szCs w:val="20"/>
              </w:rPr>
              <w:t>Environmentálne posúdenie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1D6247" w:rsidRDefault="00181352" w:rsidP="00BB02BC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 w:rsidRPr="001D6247">
              <w:rPr>
                <w:bCs/>
                <w:iCs/>
                <w:sz w:val="20"/>
                <w:szCs w:val="20"/>
              </w:rPr>
              <w:t>Rozpor s národnou alebo európskou legislatívou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D16DBE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</w:t>
            </w:r>
            <w:r w:rsidR="00181352">
              <w:rPr>
                <w:iCs/>
                <w:sz w:val="20"/>
                <w:szCs w:val="20"/>
              </w:rPr>
              <w:t xml:space="preserve">ezabezpečenie </w:t>
            </w:r>
            <w:r w:rsidR="00E917B9">
              <w:rPr>
                <w:iCs/>
                <w:sz w:val="20"/>
                <w:szCs w:val="20"/>
              </w:rPr>
              <w:t xml:space="preserve">plného </w:t>
            </w:r>
            <w:r w:rsidR="00181352">
              <w:rPr>
                <w:iCs/>
                <w:sz w:val="20"/>
                <w:szCs w:val="20"/>
              </w:rPr>
              <w:t>prístupu verejnosti k procesu EIA</w:t>
            </w:r>
          </w:p>
          <w:p w:rsidR="00181352" w:rsidRPr="00243E6E" w:rsidRDefault="00D16DBE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Nerešpektovanie relevantných pripomienok dotknutej verejnosti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D16DBE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Opakovanie procesov, a tým oneskorenie investície</w:t>
            </w:r>
          </w:p>
          <w:p w:rsidR="00D16DBE" w:rsidRPr="00243E6E" w:rsidRDefault="00D16DBE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Neoprávnenosť investície na spolufinancovanie z fondov EÚ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D16DBE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D16DBE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D16DBE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DC426E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Efektívna a proaktívna komunikácia s verejnosťou</w:t>
            </w:r>
          </w:p>
          <w:p w:rsidR="00DC426E" w:rsidRDefault="00DC426E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Organizácia verejných prerokovaní</w:t>
            </w:r>
          </w:p>
          <w:p w:rsidR="00DC426E" w:rsidRDefault="00DC426E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Priebežná kontrola procesu zo strany investora</w:t>
            </w:r>
          </w:p>
          <w:p w:rsidR="00DC426E" w:rsidRPr="00243E6E" w:rsidRDefault="00DC426E" w:rsidP="002E0B2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2E0B2D">
              <w:rPr>
                <w:iCs/>
                <w:sz w:val="20"/>
                <w:szCs w:val="20"/>
              </w:rPr>
              <w:t>Úzka s</w:t>
            </w:r>
            <w:r>
              <w:rPr>
                <w:iCs/>
                <w:sz w:val="20"/>
                <w:szCs w:val="20"/>
              </w:rPr>
              <w:t>polupráca s MŽP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D16DBE" w:rsidP="006A652B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181352" w:rsidRPr="00243E6E" w:rsidTr="000C27AF">
        <w:trPr>
          <w:trHeight w:val="729"/>
        </w:trPr>
        <w:tc>
          <w:tcPr>
            <w:tcW w:w="1686" w:type="dxa"/>
            <w:vMerge/>
          </w:tcPr>
          <w:p w:rsidR="00181352" w:rsidRPr="00E551BD" w:rsidRDefault="00181352" w:rsidP="00A10048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352" w:rsidRPr="001D6247" w:rsidRDefault="00181352" w:rsidP="00E551B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1D6247" w:rsidRDefault="002C5B30" w:rsidP="00BB02BC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Zmena pravidiel v oblasti ochrany životného prostredia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181352" w:rsidP="00BB02BC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2C5B30">
              <w:rPr>
                <w:bCs/>
                <w:iCs/>
                <w:sz w:val="20"/>
                <w:szCs w:val="20"/>
              </w:rPr>
              <w:t>Nové požiadavky vyplývajúce z európskej legislatívy, ktoré nie sú zohľadnené v procese posudzovania</w:t>
            </w:r>
          </w:p>
          <w:p w:rsidR="002C5B30" w:rsidRDefault="002C5B30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Nové prísnejšie vyhlášky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93" w:rsidRDefault="00272293" w:rsidP="0027229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Opakovanie procesov, a tým oneskorenie investície</w:t>
            </w:r>
          </w:p>
          <w:p w:rsidR="00181352" w:rsidRDefault="00272293" w:rsidP="0027229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Neoprávnenosť investície na spolufinancovanie z fondov EÚ</w:t>
            </w:r>
          </w:p>
          <w:p w:rsidR="00F84B2F" w:rsidRPr="00243E6E" w:rsidRDefault="00F84B2F" w:rsidP="0027229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Zvýšenie investičných výdavkov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DB4F42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DB4F42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DB4F42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127A45" w:rsidP="0027229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272293">
              <w:rPr>
                <w:iCs/>
                <w:sz w:val="20"/>
                <w:szCs w:val="20"/>
              </w:rPr>
              <w:t>Aktívne sledovanie vývoja v európskej legislatíve, aktívny prístup k tvorbe národnej legislatívy</w:t>
            </w:r>
            <w:r w:rsidR="002C5B30">
              <w:rPr>
                <w:iCs/>
                <w:sz w:val="20"/>
                <w:szCs w:val="20"/>
              </w:rPr>
              <w:t xml:space="preserve"> a pravidiel</w:t>
            </w:r>
          </w:p>
          <w:p w:rsidR="00272293" w:rsidRDefault="00272293" w:rsidP="0027229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Priebežné vzdelávanie interných kapacít</w:t>
            </w:r>
          </w:p>
          <w:p w:rsidR="00272293" w:rsidRDefault="00272293" w:rsidP="0027229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Medzinárodná spolupráca v rámci EÚ (vrátane JASPERS)</w:t>
            </w:r>
          </w:p>
          <w:p w:rsidR="00F84B2F" w:rsidRPr="00243E6E" w:rsidRDefault="00F84B2F" w:rsidP="0027229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Vhodné environmentálne kritériá v rámci štúdie uskutočniteľnosti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DB4F42" w:rsidP="006A652B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181352" w:rsidRPr="00243E6E" w:rsidTr="000C27AF">
        <w:trPr>
          <w:trHeight w:val="729"/>
        </w:trPr>
        <w:tc>
          <w:tcPr>
            <w:tcW w:w="1686" w:type="dxa"/>
            <w:vMerge/>
          </w:tcPr>
          <w:p w:rsidR="00181352" w:rsidRPr="00243E6E" w:rsidRDefault="00181352" w:rsidP="00A10048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352" w:rsidRPr="00243E6E" w:rsidRDefault="00181352" w:rsidP="00E551BD">
            <w:pPr>
              <w:spacing w:before="40" w:after="40"/>
              <w:ind w:left="136" w:right="12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1D6247" w:rsidRDefault="00181352" w:rsidP="00BB02BC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 w:rsidRPr="001D6247">
              <w:rPr>
                <w:bCs/>
                <w:iCs/>
                <w:sz w:val="20"/>
                <w:szCs w:val="20"/>
              </w:rPr>
              <w:t>Prieťahy v konaní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2C5B30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</w:t>
            </w:r>
            <w:r w:rsidR="00181352">
              <w:rPr>
                <w:iCs/>
                <w:sz w:val="20"/>
                <w:szCs w:val="20"/>
              </w:rPr>
              <w:t>eopodstatnené požiadavky účastníkov konania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917B9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Predlžovanie procesu, a tým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917B9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917B9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917B9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Nízka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B9" w:rsidRDefault="00E917B9" w:rsidP="00E917B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Efektívna a proaktívna komunikácia s verejnosťou</w:t>
            </w:r>
          </w:p>
          <w:p w:rsidR="00E917B9" w:rsidRDefault="00E917B9" w:rsidP="00E917B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Organizácia verejných prerokovaní</w:t>
            </w:r>
          </w:p>
          <w:p w:rsidR="00181352" w:rsidRDefault="00E917B9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283F34">
              <w:rPr>
                <w:iCs/>
                <w:sz w:val="20"/>
                <w:szCs w:val="20"/>
              </w:rPr>
              <w:t>Poctivé vyhodnotenie všetkých požiadaviek, vysvetľovanie, zamietnutie neopodstatnených</w:t>
            </w:r>
          </w:p>
          <w:p w:rsidR="00283F34" w:rsidRPr="00243E6E" w:rsidRDefault="00283F34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Aktívna iniciácia úpravy legislatívy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917B9" w:rsidP="006A652B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181352" w:rsidRPr="00243E6E" w:rsidTr="000C27AF">
        <w:trPr>
          <w:trHeight w:val="729"/>
        </w:trPr>
        <w:tc>
          <w:tcPr>
            <w:tcW w:w="1686" w:type="dxa"/>
            <w:vMerge/>
          </w:tcPr>
          <w:p w:rsidR="00181352" w:rsidRPr="00243E6E" w:rsidRDefault="00181352" w:rsidP="00A10048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352" w:rsidRPr="00243E6E" w:rsidRDefault="00181352" w:rsidP="00E551BD">
            <w:pPr>
              <w:spacing w:before="40" w:after="40"/>
              <w:ind w:left="136" w:right="12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1D6247" w:rsidRDefault="00181352" w:rsidP="00BB02BC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 w:rsidRPr="001D6247">
              <w:rPr>
                <w:bCs/>
                <w:iCs/>
                <w:sz w:val="20"/>
                <w:szCs w:val="20"/>
              </w:rPr>
              <w:t>Odpor verejnosti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2C5B30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</w:t>
            </w:r>
            <w:r w:rsidR="00181352">
              <w:rPr>
                <w:iCs/>
                <w:sz w:val="20"/>
                <w:szCs w:val="20"/>
              </w:rPr>
              <w:t>esúhlas dotknutých subjektov s návrhom investície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084D53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Predlžovanie procesu, a tým oneskorenie investície</w:t>
            </w:r>
          </w:p>
          <w:p w:rsidR="00084D53" w:rsidRPr="00243E6E" w:rsidRDefault="00084D53" w:rsidP="00084D5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Negatívna publicita, príp. až zastavenie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66878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66878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66878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BE53C6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Kvalitne spracovaná štúdia uskutočniteľnosti s dostatočným počtom posúdených variantov</w:t>
            </w:r>
            <w:r w:rsidR="00534478">
              <w:rPr>
                <w:iCs/>
                <w:sz w:val="20"/>
                <w:szCs w:val="20"/>
              </w:rPr>
              <w:t>, zapojenie verejnosti už v rámci spracovania štúdie</w:t>
            </w:r>
          </w:p>
          <w:p w:rsidR="00BE53C6" w:rsidRDefault="00BE53C6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J</w:t>
            </w:r>
            <w:r w:rsidRPr="00BE53C6">
              <w:rPr>
                <w:iCs/>
                <w:sz w:val="20"/>
                <w:szCs w:val="20"/>
              </w:rPr>
              <w:t>asné a verejnosti zrozumiteľné varianty v rámci EIA procesu</w:t>
            </w:r>
          </w:p>
          <w:p w:rsidR="000A1041" w:rsidRPr="00243E6E" w:rsidRDefault="000A1041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Premyslené komunikačná stratégia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E66878" w:rsidP="006A652B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181352" w:rsidRPr="00243E6E" w:rsidTr="000C27AF">
        <w:trPr>
          <w:trHeight w:val="729"/>
        </w:trPr>
        <w:tc>
          <w:tcPr>
            <w:tcW w:w="1686" w:type="dxa"/>
            <w:vMerge/>
          </w:tcPr>
          <w:p w:rsidR="00181352" w:rsidRPr="00243E6E" w:rsidRDefault="00181352" w:rsidP="00A10048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352" w:rsidRPr="00243E6E" w:rsidRDefault="00181352" w:rsidP="00E551BD">
            <w:pPr>
              <w:spacing w:before="40" w:after="40"/>
              <w:ind w:left="136" w:right="12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1D6247" w:rsidRDefault="00181352" w:rsidP="00BB02BC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 w:rsidRPr="001D6247">
              <w:rPr>
                <w:bCs/>
                <w:iCs/>
                <w:sz w:val="20"/>
                <w:szCs w:val="20"/>
              </w:rPr>
              <w:t>Chýbajúca hĺbka alebo kvalita posúdenia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2C5B30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C</w:t>
            </w:r>
            <w:r w:rsidR="00181352">
              <w:rPr>
                <w:iCs/>
                <w:sz w:val="20"/>
                <w:szCs w:val="20"/>
              </w:rPr>
              <w:t xml:space="preserve">hýbajúce aspekty posúdenia (rámcová smernica o vode, chránené územia, chýbajúce ciele ochrany, kumulatívne vplyvy, emisie, hluk, </w:t>
            </w:r>
            <w:r w:rsidR="00C24F94">
              <w:rPr>
                <w:iCs/>
                <w:sz w:val="20"/>
                <w:szCs w:val="20"/>
              </w:rPr>
              <w:t xml:space="preserve">bilancia materiálov </w:t>
            </w:r>
            <w:r w:rsidR="00181352">
              <w:rPr>
                <w:iCs/>
                <w:sz w:val="20"/>
                <w:szCs w:val="20"/>
              </w:rPr>
              <w:t>a pod.)</w:t>
            </w:r>
          </w:p>
          <w:p w:rsidR="00A31BD1" w:rsidRDefault="00A31BD1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Nerešpektovanie čiastočných odborných stanovísk, napr. o závažnosti vplyvu o navrhovanej činnosti</w:t>
            </w:r>
          </w:p>
          <w:p w:rsidR="00064265" w:rsidRPr="00243E6E" w:rsidRDefault="00064265" w:rsidP="00064265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Chýbajúci alebo slabý proces Oznámenia o zmene navrhovanej činnosti 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D1A" w:rsidRDefault="004C6D1A" w:rsidP="004C6D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Opakovanie procesov, a tým oneskorenie investície</w:t>
            </w:r>
          </w:p>
          <w:p w:rsidR="004C6D1A" w:rsidRDefault="004C6D1A" w:rsidP="004C6D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Neoprávnenosť investície na spolufinancovanie z fondov EÚ</w:t>
            </w:r>
          </w:p>
          <w:p w:rsidR="00181352" w:rsidRPr="00243E6E" w:rsidRDefault="004C6D1A" w:rsidP="004C6D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Zvýšenie investičných výdavkov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8B6753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8B6753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8B6753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2E0B2D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Úzka spolupráca s MŽP (</w:t>
            </w:r>
            <w:r w:rsidR="00064265">
              <w:rPr>
                <w:iCs/>
                <w:sz w:val="20"/>
                <w:szCs w:val="20"/>
              </w:rPr>
              <w:t xml:space="preserve">odbor posudzovania vplyvov na ŽP a </w:t>
            </w:r>
            <w:r>
              <w:rPr>
                <w:iCs/>
                <w:sz w:val="20"/>
                <w:szCs w:val="20"/>
              </w:rPr>
              <w:t>odbor kontroly posudzovania vplyvov na ŽP)</w:t>
            </w:r>
          </w:p>
          <w:p w:rsidR="0094100F" w:rsidRDefault="002E0B2D" w:rsidP="0094100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94100F">
              <w:rPr>
                <w:iCs/>
                <w:sz w:val="20"/>
                <w:szCs w:val="20"/>
              </w:rPr>
              <w:t>Úzka spolupráca so štátnymi odbornými organizáciami (ŠOP, VÚVH, hygienik a pod.)</w:t>
            </w:r>
          </w:p>
          <w:p w:rsidR="0094100F" w:rsidRDefault="0094100F" w:rsidP="0094100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Vypracovanie interných postupov a dostatoč</w:t>
            </w:r>
            <w:r w:rsidR="006251E4">
              <w:rPr>
                <w:iCs/>
                <w:sz w:val="20"/>
                <w:szCs w:val="20"/>
              </w:rPr>
              <w:t>né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251E4">
              <w:rPr>
                <w:iCs/>
                <w:sz w:val="20"/>
                <w:szCs w:val="20"/>
              </w:rPr>
              <w:t>odborné kapacity</w:t>
            </w:r>
            <w:r>
              <w:rPr>
                <w:iCs/>
                <w:sz w:val="20"/>
                <w:szCs w:val="20"/>
              </w:rPr>
              <w:t xml:space="preserve"> v oblasti environmentálnej prípravy investícií</w:t>
            </w:r>
          </w:p>
          <w:p w:rsidR="0094100F" w:rsidRDefault="0094100F" w:rsidP="0094100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Sledovanie odporúčaní JASPERS, minulých skúseností a auditných zistení</w:t>
            </w:r>
          </w:p>
          <w:p w:rsidR="00F41868" w:rsidRDefault="00F41868" w:rsidP="0094100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Oznámenia o zmene navrhovanej činnosti </w:t>
            </w:r>
            <w:r w:rsidR="00937C86">
              <w:rPr>
                <w:iCs/>
                <w:sz w:val="20"/>
                <w:szCs w:val="20"/>
              </w:rPr>
              <w:t>je venovaná rovnaká</w:t>
            </w:r>
            <w:r w:rsidR="00425DB5">
              <w:rPr>
                <w:iCs/>
                <w:sz w:val="20"/>
                <w:szCs w:val="20"/>
              </w:rPr>
              <w:t xml:space="preserve"> dôležitosť a </w:t>
            </w:r>
            <w:r w:rsidR="00937C86">
              <w:rPr>
                <w:iCs/>
                <w:sz w:val="20"/>
                <w:szCs w:val="20"/>
              </w:rPr>
              <w:t>kvalita</w:t>
            </w:r>
            <w:r w:rsidR="00425DB5">
              <w:rPr>
                <w:iCs/>
                <w:sz w:val="20"/>
                <w:szCs w:val="20"/>
              </w:rPr>
              <w:t xml:space="preserve"> ako základné</w:t>
            </w:r>
            <w:r w:rsidR="00937C86">
              <w:rPr>
                <w:iCs/>
                <w:sz w:val="20"/>
                <w:szCs w:val="20"/>
              </w:rPr>
              <w:t>mu</w:t>
            </w:r>
            <w:r w:rsidR="00425DB5">
              <w:rPr>
                <w:iCs/>
                <w:sz w:val="20"/>
                <w:szCs w:val="20"/>
              </w:rPr>
              <w:t xml:space="preserve"> </w:t>
            </w:r>
            <w:r w:rsidR="00937C86">
              <w:rPr>
                <w:iCs/>
                <w:sz w:val="20"/>
                <w:szCs w:val="20"/>
              </w:rPr>
              <w:t>posúdeniu</w:t>
            </w:r>
            <w:r w:rsidR="00425DB5">
              <w:rPr>
                <w:iCs/>
                <w:sz w:val="20"/>
                <w:szCs w:val="20"/>
              </w:rPr>
              <w:t xml:space="preserve"> vplyvov</w:t>
            </w:r>
          </w:p>
          <w:p w:rsidR="00937C86" w:rsidRDefault="00937C86" w:rsidP="0094100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Prípadné Oznámenia o zmene navrhovanej činnosti sú predkladané a komunikované efektívne (kvalita &gt; kvantita)</w:t>
            </w:r>
          </w:p>
          <w:p w:rsidR="0094100F" w:rsidRDefault="0094100F" w:rsidP="0094100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Dôraz na obstaranie kvalitného externého konzultanta</w:t>
            </w:r>
          </w:p>
          <w:p w:rsidR="002E0B2D" w:rsidRPr="00243E6E" w:rsidRDefault="0094100F" w:rsidP="00D2520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Environmentálne zameran</w:t>
            </w:r>
            <w:r w:rsidR="00D2520A">
              <w:rPr>
                <w:iCs/>
                <w:sz w:val="20"/>
                <w:szCs w:val="20"/>
              </w:rPr>
              <w:t>á podniková kultúra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9925DA" w:rsidP="006A652B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181352" w:rsidRPr="00243E6E" w:rsidTr="000C27AF">
        <w:trPr>
          <w:trHeight w:val="729"/>
        </w:trPr>
        <w:tc>
          <w:tcPr>
            <w:tcW w:w="1686" w:type="dxa"/>
            <w:vMerge/>
          </w:tcPr>
          <w:p w:rsidR="00181352" w:rsidRPr="00243E6E" w:rsidRDefault="00181352" w:rsidP="00A10048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352" w:rsidRPr="00243E6E" w:rsidRDefault="00181352" w:rsidP="00E551BD">
            <w:pPr>
              <w:spacing w:before="40" w:after="40"/>
              <w:ind w:left="136" w:right="12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1D6247" w:rsidRDefault="00181352" w:rsidP="0092234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Nedostatočná kapacity/odbornosť príslušných úradov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181352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nízka kapacita/odbornosť najmä na úrovni miestnych úradov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56466F" w:rsidP="005646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Opakovanie procesov, a tým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56466F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56466F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56466F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644170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644170">
              <w:rPr>
                <w:iCs/>
                <w:sz w:val="20"/>
                <w:szCs w:val="20"/>
              </w:rPr>
              <w:t>Sledovanie odporúčaní JASPERS, minulých skúseností a auditných zistení</w:t>
            </w:r>
          </w:p>
          <w:p w:rsidR="00644170" w:rsidRPr="00644170" w:rsidRDefault="00644170" w:rsidP="00644170">
            <w:pPr>
              <w:spacing w:before="40" w:after="40"/>
              <w:rPr>
                <w:iCs/>
                <w:sz w:val="20"/>
                <w:szCs w:val="20"/>
              </w:rPr>
            </w:pPr>
            <w:r w:rsidRPr="00644170">
              <w:rPr>
                <w:iCs/>
                <w:sz w:val="20"/>
                <w:szCs w:val="20"/>
              </w:rPr>
              <w:t>- Úzka spolupráca s MŽP (odbor kontroly posudzovania vplyvov na ŽP)</w:t>
            </w:r>
          </w:p>
          <w:p w:rsidR="00644170" w:rsidRPr="00243E6E" w:rsidRDefault="00644170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Posilnenie regionálnych odborných kapacít, priebežné vzdelávanie, vytvorenie jednotnej príručky na národnej úrovni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644170" w:rsidP="006A652B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181352" w:rsidRPr="00243E6E" w:rsidTr="000C27AF">
        <w:trPr>
          <w:trHeight w:val="729"/>
        </w:trPr>
        <w:tc>
          <w:tcPr>
            <w:tcW w:w="1686" w:type="dxa"/>
            <w:vMerge/>
          </w:tcPr>
          <w:p w:rsidR="00181352" w:rsidRPr="00243E6E" w:rsidRDefault="00181352" w:rsidP="00A10048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81352" w:rsidRPr="001D6247" w:rsidRDefault="00181352" w:rsidP="00E551B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 w:rsidRPr="001D6247">
              <w:rPr>
                <w:bCs/>
                <w:iCs/>
                <w:sz w:val="20"/>
                <w:szCs w:val="20"/>
              </w:rPr>
              <w:t>Povoľovací proces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1D6247" w:rsidRDefault="00181352" w:rsidP="00E2481A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 w:rsidRPr="001D6247">
              <w:rPr>
                <w:bCs/>
                <w:iCs/>
                <w:sz w:val="20"/>
                <w:szCs w:val="20"/>
              </w:rPr>
              <w:t>Ch</w:t>
            </w:r>
            <w:r w:rsidR="00E2481A">
              <w:rPr>
                <w:bCs/>
                <w:iCs/>
                <w:sz w:val="20"/>
                <w:szCs w:val="20"/>
              </w:rPr>
              <w:t>ybné</w:t>
            </w:r>
            <w:r w:rsidRPr="001D6247">
              <w:rPr>
                <w:bCs/>
                <w:iCs/>
                <w:sz w:val="20"/>
                <w:szCs w:val="20"/>
              </w:rPr>
              <w:t xml:space="preserve"> </w:t>
            </w:r>
            <w:r w:rsidR="00E2481A">
              <w:rPr>
                <w:bCs/>
                <w:iCs/>
                <w:sz w:val="20"/>
                <w:szCs w:val="20"/>
              </w:rPr>
              <w:t xml:space="preserve">alebo chýbajúce </w:t>
            </w:r>
            <w:r w:rsidRPr="001D6247">
              <w:rPr>
                <w:bCs/>
                <w:iCs/>
                <w:sz w:val="20"/>
                <w:szCs w:val="20"/>
              </w:rPr>
              <w:t>povolenia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181352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127A45">
              <w:rPr>
                <w:iCs/>
                <w:sz w:val="20"/>
                <w:szCs w:val="20"/>
              </w:rPr>
              <w:t>Nesúlad medzi EIA a stavebným povolením (v stavebnom povolení nie sú obsiahnuté požiadavky z EIA)</w:t>
            </w:r>
          </w:p>
          <w:p w:rsidR="00127A45" w:rsidRDefault="00980BD3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Vynechanie niektorých potrebných povolení (napr. vodoprávne, elektro a pod.)</w:t>
            </w:r>
          </w:p>
          <w:p w:rsidR="006F5644" w:rsidRPr="00243E6E" w:rsidRDefault="006F5644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Chýbajúca alebo chybná zmena stavby pred dokončením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9002F4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Opakovanie procesov, a tým oneskorenie investície</w:t>
            </w:r>
          </w:p>
          <w:p w:rsidR="009002F4" w:rsidRDefault="009002F4" w:rsidP="009002F4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Neoprávnenosť investície na spolufinancovanie z fondov EÚ</w:t>
            </w:r>
          </w:p>
          <w:p w:rsidR="009002F4" w:rsidRPr="00243E6E" w:rsidRDefault="009002F4" w:rsidP="00183032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402C8C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402C8C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402C8C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A8" w:rsidRDefault="003E1FA8" w:rsidP="003E1FA8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Vypracovanie interných postupov a dostatočn</w:t>
            </w:r>
            <w:r w:rsidR="006251E4">
              <w:rPr>
                <w:iCs/>
                <w:sz w:val="20"/>
                <w:szCs w:val="20"/>
              </w:rPr>
              <w:t>é</w:t>
            </w:r>
            <w:r>
              <w:rPr>
                <w:iCs/>
                <w:sz w:val="20"/>
                <w:szCs w:val="20"/>
              </w:rPr>
              <w:t xml:space="preserve"> odborn</w:t>
            </w:r>
            <w:r w:rsidR="006251E4">
              <w:rPr>
                <w:iCs/>
                <w:sz w:val="20"/>
                <w:szCs w:val="20"/>
              </w:rPr>
              <w:t xml:space="preserve">é kapacity </w:t>
            </w:r>
            <w:r>
              <w:rPr>
                <w:iCs/>
                <w:sz w:val="20"/>
                <w:szCs w:val="20"/>
              </w:rPr>
              <w:t>v oblasti environmentálnej prípravy investícií</w:t>
            </w:r>
          </w:p>
          <w:p w:rsidR="003E1FA8" w:rsidRDefault="003E1FA8" w:rsidP="003E1FA8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Sledovanie odporúčaní JASPERS, minulých skúseností a auditných zistení</w:t>
            </w:r>
          </w:p>
          <w:p w:rsidR="00181352" w:rsidRDefault="003E1FA8" w:rsidP="00183032">
            <w:pPr>
              <w:spacing w:before="40" w:after="40"/>
              <w:rPr>
                <w:iCs/>
                <w:sz w:val="20"/>
                <w:szCs w:val="20"/>
              </w:rPr>
            </w:pPr>
            <w:r w:rsidRPr="00644170">
              <w:rPr>
                <w:iCs/>
                <w:sz w:val="20"/>
                <w:szCs w:val="20"/>
              </w:rPr>
              <w:t>- Úzka spolupráca s MŽP (odbor kontroly posudzovania vplyvov na ŽP)</w:t>
            </w:r>
          </w:p>
          <w:p w:rsidR="006F5644" w:rsidRPr="00243E6E" w:rsidRDefault="006F5644" w:rsidP="0033562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Zmene stavby musí predchádzať </w:t>
            </w:r>
            <w:r w:rsidR="00335629">
              <w:rPr>
                <w:iCs/>
                <w:sz w:val="20"/>
                <w:szCs w:val="20"/>
              </w:rPr>
              <w:t>stanovisko z posúdenia vplyvu zmeny na ŽP (napr. Oznámenie o zmene navrhovanej činnosti) a požiadavky ŽP musia byť riadne zapracované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C07B91" w:rsidP="006A652B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181352" w:rsidRPr="00243E6E" w:rsidTr="000C27AF">
        <w:trPr>
          <w:trHeight w:val="729"/>
        </w:trPr>
        <w:tc>
          <w:tcPr>
            <w:tcW w:w="1686" w:type="dxa"/>
            <w:vMerge/>
          </w:tcPr>
          <w:p w:rsidR="00181352" w:rsidRPr="00243E6E" w:rsidRDefault="00181352" w:rsidP="00A10048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352" w:rsidRPr="001D6247" w:rsidRDefault="00181352" w:rsidP="00E551B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1D6247" w:rsidRDefault="00181352" w:rsidP="00BB02BC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Strata právoplatnosti povolení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Default="00181352" w:rsidP="00BB02B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Vypršanie termínu povolení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3" w:rsidRDefault="00A35943" w:rsidP="00A3594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Opakovanie procesov, a tým oneskorenie investície</w:t>
            </w:r>
          </w:p>
          <w:p w:rsidR="00181352" w:rsidRPr="00243E6E" w:rsidRDefault="00181352" w:rsidP="00183032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5614ED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A35943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</w:t>
            </w:r>
            <w:r w:rsidR="005614ED">
              <w:rPr>
                <w:iCs/>
                <w:sz w:val="20"/>
                <w:szCs w:val="20"/>
              </w:rPr>
              <w:t>I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A35943" w:rsidP="005646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A35943" w:rsidP="0018303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E6160A">
              <w:rPr>
                <w:iCs/>
                <w:sz w:val="20"/>
                <w:szCs w:val="20"/>
              </w:rPr>
              <w:t>Dôkladný manažment povolení, sledovanie platnosti a v prípade potrebný včasná žiadosť o predĺženie platnosti povolenia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52" w:rsidRPr="00243E6E" w:rsidRDefault="005614ED" w:rsidP="006A652B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1A6DFE" w:rsidRPr="00243E6E" w:rsidTr="000C27AF">
        <w:trPr>
          <w:trHeight w:val="635"/>
        </w:trPr>
        <w:tc>
          <w:tcPr>
            <w:tcW w:w="1686" w:type="dxa"/>
            <w:vMerge/>
          </w:tcPr>
          <w:p w:rsidR="001A6DFE" w:rsidRPr="00243E6E" w:rsidRDefault="001A6DFE" w:rsidP="001A6DFE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6DFE" w:rsidRPr="00243E6E" w:rsidRDefault="001A6DFE" w:rsidP="001A6DFE">
            <w:pPr>
              <w:spacing w:before="40" w:after="40"/>
              <w:ind w:left="136" w:right="12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1D6247" w:rsidRDefault="001A6DFE" w:rsidP="001A6DF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Prieťahy v konaní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Neopodstatnené požiadavky účastníkov konania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Predlžovanie procesu, a tým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Nízka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Efektívna a proaktívna komunikácia s verejnosťou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Organizácia verejných prerokovaní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Poctivé vyhodnotenie všetkých požiadaviek, vysvetľovanie, zamietnutie neopodstatnených</w:t>
            </w:r>
          </w:p>
          <w:p w:rsidR="001A6DFE" w:rsidRPr="00243E6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Aktívna iniciácia úpravy legislatívy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1A6DFE" w:rsidRPr="00243E6E" w:rsidTr="000C27AF">
        <w:trPr>
          <w:trHeight w:val="729"/>
        </w:trPr>
        <w:tc>
          <w:tcPr>
            <w:tcW w:w="1686" w:type="dxa"/>
            <w:vMerge/>
          </w:tcPr>
          <w:p w:rsidR="001A6DFE" w:rsidRPr="00243E6E" w:rsidRDefault="001A6DFE" w:rsidP="001A6DFE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6DFE" w:rsidRPr="00243E6E" w:rsidRDefault="001A6DFE" w:rsidP="001A6DFE">
            <w:pPr>
              <w:spacing w:before="40" w:after="40"/>
              <w:ind w:left="136" w:right="12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1D6247" w:rsidRDefault="001A6DFE" w:rsidP="001A6DF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 w:rsidRPr="001D6247">
              <w:rPr>
                <w:bCs/>
                <w:iCs/>
                <w:sz w:val="20"/>
                <w:szCs w:val="20"/>
              </w:rPr>
              <w:t>Odpor verejnosti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nesúhlas dotknutých subjektov s návrhom investície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Predlžovanie procesu, a tým oneskorenie investície</w:t>
            </w:r>
          </w:p>
          <w:p w:rsidR="001A6DFE" w:rsidRPr="00243E6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Negatívna publicita, príp. až zastavenie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Kvalitne spracovaná štúdia uskutočniteľnosti s dostatočným počtom posúdených variantov, zapojenie verejnosti už v rámci spracovania štúdie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J</w:t>
            </w:r>
            <w:r w:rsidRPr="00BE53C6">
              <w:rPr>
                <w:iCs/>
                <w:sz w:val="20"/>
                <w:szCs w:val="20"/>
              </w:rPr>
              <w:t>asné a verejnosti zrozumiteľné varianty v rámci EIA procesu</w:t>
            </w:r>
          </w:p>
          <w:p w:rsidR="000A1041" w:rsidRPr="00243E6E" w:rsidRDefault="000A1041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Premyslená komunikačná stratégia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243E6E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1A6DFE" w:rsidRPr="00243E6E" w:rsidTr="000C27AF">
        <w:trPr>
          <w:trHeight w:val="729"/>
        </w:trPr>
        <w:tc>
          <w:tcPr>
            <w:tcW w:w="1686" w:type="dxa"/>
            <w:vMerge/>
          </w:tcPr>
          <w:p w:rsidR="001A6DFE" w:rsidRPr="00CA50EF" w:rsidRDefault="001A6DFE" w:rsidP="001A6DFE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A6DFE" w:rsidRPr="00CA50EF" w:rsidRDefault="001A6DFE" w:rsidP="001A6DFE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 w:rsidRPr="00CA50EF">
              <w:rPr>
                <w:bCs/>
                <w:iCs/>
                <w:sz w:val="20"/>
                <w:szCs w:val="20"/>
              </w:rPr>
              <w:t>Verejné obstarávanie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C93E1F" w:rsidP="00C93E1F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Prieťahy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Náprava súťažných podkladov, uplatnenie reverzných postupov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Kontroly procesu zo strany relevantných orgánov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Predbežné trhové konzultácie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Dostatočne dlhé lehoty na predkladanie ponúk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Jednoznačné súťažné podklady, ideálne unifikované</w:t>
            </w:r>
          </w:p>
          <w:p w:rsidR="001A6DFE" w:rsidRPr="00CA50EF" w:rsidRDefault="001A6DFE" w:rsidP="0025413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Efektívna komunikácia s</w:t>
            </w:r>
            <w:r w:rsidR="00254139">
              <w:rPr>
                <w:iCs/>
                <w:sz w:val="20"/>
                <w:szCs w:val="20"/>
              </w:rPr>
              <w:t> RO / ÚVO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Stredné</w:t>
            </w:r>
          </w:p>
        </w:tc>
      </w:tr>
      <w:tr w:rsidR="001A6DFE" w:rsidRPr="00243E6E" w:rsidTr="000C27AF">
        <w:trPr>
          <w:trHeight w:val="729"/>
        </w:trPr>
        <w:tc>
          <w:tcPr>
            <w:tcW w:w="1686" w:type="dxa"/>
            <w:vMerge/>
          </w:tcPr>
          <w:p w:rsidR="001A6DFE" w:rsidRPr="00CA50EF" w:rsidRDefault="001A6DFE" w:rsidP="001A6DFE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6DFE" w:rsidRPr="00CA50EF" w:rsidRDefault="001A6DFE" w:rsidP="001A6DFE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Nesúlad procesu s platnou legislatívou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Porušenie legislatívnych pravidiel alebo iných platných metodických usmernení alebo výkladov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Finančné korekcie/pokuty s dopadom na deficit štátneho rozpočtu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Dostatočné odborné a skúsené kapacity na úrovni investora/verejného obstarávateľa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Dodržiavanie platných príručiek, študovanie databázy auditných zistení a rozhodnutí ÚVO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Ex-</w:t>
            </w:r>
            <w:proofErr w:type="spellStart"/>
            <w:r>
              <w:rPr>
                <w:iCs/>
                <w:sz w:val="20"/>
                <w:szCs w:val="20"/>
              </w:rPr>
              <w:t>ante</w:t>
            </w:r>
            <w:proofErr w:type="spellEnd"/>
            <w:r>
              <w:rPr>
                <w:iCs/>
                <w:sz w:val="20"/>
                <w:szCs w:val="20"/>
              </w:rPr>
              <w:t xml:space="preserve"> kontrola súťažných podkladov RO / ÚVO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Odborní pozorovatelia v rámci komisie na vyhodnotenie podmienok účasti/ponúk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FB0E5A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Vysoké</w:t>
            </w:r>
          </w:p>
        </w:tc>
      </w:tr>
      <w:tr w:rsidR="001A6DFE" w:rsidRPr="00243E6E" w:rsidTr="000C27AF">
        <w:trPr>
          <w:trHeight w:val="729"/>
        </w:trPr>
        <w:tc>
          <w:tcPr>
            <w:tcW w:w="1686" w:type="dxa"/>
            <w:vMerge/>
          </w:tcPr>
          <w:p w:rsidR="001A6DFE" w:rsidRPr="00CA50EF" w:rsidRDefault="001A6DFE" w:rsidP="001A6DFE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6DFE" w:rsidRPr="00CA50EF" w:rsidRDefault="001A6DFE" w:rsidP="001A6DFE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Riziká súvisiace so zmluvným partnerom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Nízka kvalita alebo zlá finančná situácia dodávateľa</w:t>
            </w:r>
          </w:p>
          <w:p w:rsidR="00DE3C8E" w:rsidRDefault="00DE3C8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Nízka kvalita výstupov dodávateľa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Kritériá kvality v rámci hodnotenia ponúk vo verejnom obstarávaní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Vhodné minimálne ekonomické a technické požiadavky na dodávateľa 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Rovnomerné rozloženie rizika v rámci zmluvných podmienok</w:t>
            </w:r>
          </w:p>
          <w:p w:rsidR="00DE3C8E" w:rsidRPr="00CA50EF" w:rsidRDefault="00DE3C8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Primeraný nárok na odškodnenie napr. za zjavné chyby v dodaných dokumentáciách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1A6DFE" w:rsidRPr="00243E6E" w:rsidTr="000C27AF">
        <w:trPr>
          <w:trHeight w:val="729"/>
        </w:trPr>
        <w:tc>
          <w:tcPr>
            <w:tcW w:w="1686" w:type="dxa"/>
            <w:vMerge/>
          </w:tcPr>
          <w:p w:rsidR="001A6DFE" w:rsidRPr="00CA50EF" w:rsidRDefault="001A6DFE" w:rsidP="001A6DFE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A6DFE" w:rsidRPr="00CA50EF" w:rsidRDefault="001A6DFE" w:rsidP="001A6DFE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Výkup pozemkov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8D7456" w:rsidP="001A6DF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Obštrukcie v rámci majetkovo-právneho vysporiadania 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="008D7456">
              <w:rPr>
                <w:iCs/>
                <w:sz w:val="20"/>
                <w:szCs w:val="20"/>
              </w:rPr>
              <w:t xml:space="preserve"> </w:t>
            </w:r>
            <w:r w:rsidR="008D7456">
              <w:rPr>
                <w:bCs/>
                <w:iCs/>
                <w:sz w:val="20"/>
                <w:szCs w:val="20"/>
              </w:rPr>
              <w:t>Nesúhlas s výkupom/cenou zo strany vlastníkov pozemkov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8D7456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  <w:p w:rsidR="008D7456" w:rsidRDefault="008D7456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D7456">
              <w:rPr>
                <w:iCs/>
                <w:sz w:val="20"/>
                <w:szCs w:val="20"/>
              </w:rPr>
              <w:t>Zvýšenie investičných výdavkov</w:t>
            </w:r>
          </w:p>
          <w:p w:rsidR="0006054E" w:rsidRPr="00CA50EF" w:rsidRDefault="0006054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Negatívna publicita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8D7456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8D7456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8D7456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06054E" w:rsidP="0006054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Proaktívny prístup, otvorená komunikácia, snaha o spravodlivú kompenzáciu voči vlastníkom</w:t>
            </w:r>
          </w:p>
          <w:p w:rsidR="0006054E" w:rsidRDefault="0006054E" w:rsidP="0006054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Iniciovanie legislatívnych zmien zameraných na boj proti špekuláciám</w:t>
            </w:r>
          </w:p>
          <w:p w:rsidR="0006054E" w:rsidRPr="00CA50EF" w:rsidRDefault="00C60EDF" w:rsidP="0006054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</w:t>
            </w:r>
            <w:r w:rsidR="0006054E">
              <w:rPr>
                <w:iCs/>
                <w:sz w:val="20"/>
                <w:szCs w:val="20"/>
              </w:rPr>
              <w:t>yvlastnenie v zmysle zákona</w:t>
            </w:r>
            <w:r>
              <w:rPr>
                <w:iCs/>
                <w:sz w:val="20"/>
                <w:szCs w:val="20"/>
              </w:rPr>
              <w:t xml:space="preserve"> ako posledná možnosť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06054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1A6DFE" w:rsidRPr="00243E6E" w:rsidTr="000C27AF">
        <w:trPr>
          <w:trHeight w:val="729"/>
        </w:trPr>
        <w:tc>
          <w:tcPr>
            <w:tcW w:w="1686" w:type="dxa"/>
            <w:vMerge/>
          </w:tcPr>
          <w:p w:rsidR="001A6DFE" w:rsidRPr="00CA50EF" w:rsidRDefault="001A6DFE" w:rsidP="001A6DFE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A6DFE" w:rsidRPr="00CA50EF" w:rsidRDefault="001A6DFE" w:rsidP="001A6DFE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Politická podpora a financovanie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Strata politickej podpory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Zmena politiky alebo regionálneho zamerania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Zastavenie procesu prípravy investície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Kvalitne spracovaná štúdia uskutočniteľnosti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Zaradenie investície do Priorít MDV SR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Pozitívne ekonomické hodnotenie MF SR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1A6DFE" w:rsidRPr="00243E6E" w:rsidTr="000C27AF">
        <w:trPr>
          <w:trHeight w:val="729"/>
        </w:trPr>
        <w:tc>
          <w:tcPr>
            <w:tcW w:w="1686" w:type="dxa"/>
            <w:vMerge/>
          </w:tcPr>
          <w:p w:rsidR="001A6DFE" w:rsidRPr="00CA50EF" w:rsidRDefault="001A6DFE" w:rsidP="001A6DFE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6DFE" w:rsidRPr="00CA50EF" w:rsidRDefault="001A6DFE" w:rsidP="001A6DFE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Nedostatok alokovaných finančných zdrojov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Nedostatok zdrojov z fondov EÚ/štátneho rozpočtu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Zastavenie procesu prípravy investície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Dôraz na plnenie požiadaviek Operačného programu / Plánu obnovy / Národných stratégií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Zaradenie investície do Harmonogramu MDV SR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1A6DFE" w:rsidRPr="00243E6E" w:rsidTr="000C27AF">
        <w:trPr>
          <w:trHeight w:val="729"/>
        </w:trPr>
        <w:tc>
          <w:tcPr>
            <w:tcW w:w="1686" w:type="dxa"/>
            <w:vMerge/>
          </w:tcPr>
          <w:p w:rsidR="001A6DFE" w:rsidRPr="00CA50EF" w:rsidRDefault="001A6DFE" w:rsidP="001A6DFE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6DFE" w:rsidRPr="00CA50EF" w:rsidRDefault="001A6DFE" w:rsidP="001A6DFE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Zmena záverov štúdie uskutočniteľnosti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Vplyvom zmien/úprav v rámci projektovej prípravy aktualizovaná CBA už nepreukáže ekonomickú návratnosť investície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Zastavenie procesu prípravy investície</w:t>
            </w:r>
          </w:p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Utopené investičné výdavky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181352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181352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</w:t>
            </w:r>
            <w:r w:rsidRPr="00181352">
              <w:rPr>
                <w:iCs/>
                <w:sz w:val="20"/>
                <w:szCs w:val="20"/>
                <w:shd w:val="clear" w:color="auto" w:fill="FF0000"/>
              </w:rPr>
              <w:t>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Dostatočne robustné požadované ekonomické kritériá v rámci štúdie uskutočniteľnosti</w:t>
            </w:r>
          </w:p>
          <w:p w:rsidR="001A6DFE" w:rsidRPr="00CA50EF" w:rsidRDefault="001A6DFE" w:rsidP="001A6D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Vysoká miera odolnosti ukazovateľov CBA voči citlivosti vstupných údajov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FE" w:rsidRPr="00CA50EF" w:rsidRDefault="001A6DFE" w:rsidP="001A6DF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DD4F1A" w:rsidRPr="00243E6E" w:rsidTr="000C27AF">
        <w:trPr>
          <w:trHeight w:val="729"/>
        </w:trPr>
        <w:tc>
          <w:tcPr>
            <w:tcW w:w="1686" w:type="dxa"/>
            <w:vMerge w:val="restart"/>
          </w:tcPr>
          <w:p w:rsidR="00DD4F1A" w:rsidRPr="00CA50EF" w:rsidRDefault="00DD4F1A" w:rsidP="00DD4F1A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Výstavba</w:t>
            </w:r>
          </w:p>
        </w:tc>
        <w:tc>
          <w:tcPr>
            <w:tcW w:w="1843" w:type="dxa"/>
            <w:vMerge w:val="restart"/>
          </w:tcPr>
          <w:p w:rsidR="00DD4F1A" w:rsidRPr="00CA50EF" w:rsidRDefault="00DD4F1A" w:rsidP="00DD4F1A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Verejné obstarávanie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C93E1F" w:rsidP="00C93E1F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Prieťahy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Náprava súťažných podkladov, uplatnenie reverzných postupov</w:t>
            </w:r>
          </w:p>
          <w:p w:rsidR="00DD4F1A" w:rsidRPr="00CA50EF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Kontroly procesu zo strany relevantných orgánov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  <w:p w:rsidR="00DD4F1A" w:rsidRPr="00CA50EF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Predbežné trhové konzultácie</w:t>
            </w:r>
          </w:p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Dostatočne dlhé lehoty na predkladanie ponúk</w:t>
            </w:r>
          </w:p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Jednoznačné súťažné podklady, ideálne unifikované</w:t>
            </w:r>
          </w:p>
          <w:p w:rsidR="00BB4C40" w:rsidRDefault="00BB4C40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Riadne vysvetľovanie súťažných podkladov v rámci otázok</w:t>
            </w:r>
          </w:p>
          <w:p w:rsidR="00DD4F1A" w:rsidRPr="00CA50EF" w:rsidRDefault="00DD4F1A" w:rsidP="00BB4C40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Efektívna komunikácia s</w:t>
            </w:r>
            <w:r w:rsidR="00BB4C40">
              <w:rPr>
                <w:iCs/>
                <w:sz w:val="20"/>
                <w:szCs w:val="20"/>
              </w:rPr>
              <w:t> RO / ÚVO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Stredné</w:t>
            </w:r>
          </w:p>
        </w:tc>
      </w:tr>
      <w:tr w:rsidR="00DD4F1A" w:rsidRPr="00243E6E" w:rsidTr="000C27AF">
        <w:trPr>
          <w:trHeight w:val="729"/>
        </w:trPr>
        <w:tc>
          <w:tcPr>
            <w:tcW w:w="1686" w:type="dxa"/>
            <w:vMerge/>
          </w:tcPr>
          <w:p w:rsidR="00DD4F1A" w:rsidRPr="00CA50EF" w:rsidRDefault="00DD4F1A" w:rsidP="00DD4F1A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4F1A" w:rsidRPr="00CA50EF" w:rsidRDefault="00DD4F1A" w:rsidP="00DD4F1A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Nesúlad procesu s platnou legislatívou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Porušenie legislatívnych pravidiel alebo iných platných metodických usmernení alebo výkladov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Finančné korekcie/pokuty s dopadom na deficit štátneho rozpočtu</w:t>
            </w:r>
          </w:p>
          <w:p w:rsidR="00DD4F1A" w:rsidRPr="00CA50EF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DD4F1A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Dostatočné odborné a skúsené kapacity na úrovni investora/verejného obstarávateľa</w:t>
            </w:r>
          </w:p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Dodržiavanie platných príručiek, študovanie databázy auditných zistení a rozhodnutí ÚVO</w:t>
            </w:r>
          </w:p>
          <w:p w:rsidR="00DD4F1A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Ex-</w:t>
            </w:r>
            <w:proofErr w:type="spellStart"/>
            <w:r>
              <w:rPr>
                <w:iCs/>
                <w:sz w:val="20"/>
                <w:szCs w:val="20"/>
              </w:rPr>
              <w:t>ante</w:t>
            </w:r>
            <w:proofErr w:type="spellEnd"/>
            <w:r>
              <w:rPr>
                <w:iCs/>
                <w:sz w:val="20"/>
                <w:szCs w:val="20"/>
              </w:rPr>
              <w:t xml:space="preserve"> kontrola súťažných podkladov RO / ÚVO</w:t>
            </w:r>
          </w:p>
          <w:p w:rsidR="00DD4F1A" w:rsidRPr="00CA50EF" w:rsidRDefault="00DD4F1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Odborní pozorovatelia v rámci komisie na vyhodnotenie podmienok účasti/ponúk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1A" w:rsidRPr="00CA50EF" w:rsidRDefault="00EB0FC9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Vysoké</w:t>
            </w:r>
          </w:p>
        </w:tc>
      </w:tr>
      <w:tr w:rsidR="00BB4C40" w:rsidRPr="00243E6E" w:rsidTr="000C27AF">
        <w:trPr>
          <w:trHeight w:val="729"/>
        </w:trPr>
        <w:tc>
          <w:tcPr>
            <w:tcW w:w="1686" w:type="dxa"/>
            <w:vMerge/>
          </w:tcPr>
          <w:p w:rsidR="00BB4C40" w:rsidRPr="00CA50EF" w:rsidRDefault="00BB4C40" w:rsidP="00DD4F1A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4C40" w:rsidRPr="00CA50EF" w:rsidRDefault="00BB4C40" w:rsidP="00DD4F1A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40" w:rsidRDefault="006074BA" w:rsidP="00BB4C40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Špekulácie uchádzačov</w:t>
            </w:r>
            <w:r w:rsidR="00BB4C40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40" w:rsidRDefault="00BB4C40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6074BA">
              <w:rPr>
                <w:iCs/>
                <w:sz w:val="20"/>
                <w:szCs w:val="20"/>
              </w:rPr>
              <w:t>Predloženie ponuky hlboko pod stanovenou PHZ za dumpingovú cenu</w:t>
            </w:r>
          </w:p>
          <w:p w:rsidR="006074BA" w:rsidRDefault="006074BA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Vytváranie kartelových dohôd medzi uchádzačmi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40" w:rsidRDefault="006074BA" w:rsidP="00807A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807AFE">
              <w:rPr>
                <w:iCs/>
                <w:sz w:val="20"/>
                <w:szCs w:val="20"/>
              </w:rPr>
              <w:t>Oneskorenie alebo až nedokončenie investície</w:t>
            </w:r>
          </w:p>
          <w:p w:rsidR="00807AFE" w:rsidRDefault="00807AFE" w:rsidP="00807A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Zvýšenie investičných výdavkov</w:t>
            </w:r>
          </w:p>
          <w:p w:rsidR="00807AFE" w:rsidRDefault="00807AFE" w:rsidP="00807AF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Finančné korekcie/pokuty s dopadom na deficit štátneho rozpočtu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40" w:rsidRDefault="00E74216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40" w:rsidRDefault="00E74216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40" w:rsidRDefault="00E74216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40" w:rsidRDefault="00BB4C40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Hodnotiace kritériá kombinujúce kvalitu a</w:t>
            </w:r>
            <w:r w:rsidR="00C01DBD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cenu</w:t>
            </w:r>
            <w:r w:rsidR="00C01DBD">
              <w:rPr>
                <w:iCs/>
                <w:sz w:val="20"/>
                <w:szCs w:val="20"/>
              </w:rPr>
              <w:t xml:space="preserve">, nie na základe </w:t>
            </w:r>
            <w:r w:rsidR="00CF7CF8">
              <w:rPr>
                <w:iCs/>
                <w:sz w:val="20"/>
                <w:szCs w:val="20"/>
              </w:rPr>
              <w:t xml:space="preserve">kritéria </w:t>
            </w:r>
            <w:r w:rsidR="00C01DBD">
              <w:rPr>
                <w:iCs/>
                <w:sz w:val="20"/>
                <w:szCs w:val="20"/>
              </w:rPr>
              <w:t>najnižšej ceny</w:t>
            </w:r>
          </w:p>
          <w:p w:rsidR="00BB4C40" w:rsidRDefault="00BB4C40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Vytvorenie databázy jednotkových cien v stavebníctve ako pomocného nástroje pre vyhodnotenie ponúk</w:t>
            </w:r>
            <w:r w:rsidR="006074BA">
              <w:rPr>
                <w:iCs/>
                <w:sz w:val="20"/>
                <w:szCs w:val="20"/>
              </w:rPr>
              <w:t xml:space="preserve"> ale aj na presnejšie stanovenie PHZ</w:t>
            </w:r>
          </w:p>
          <w:p w:rsidR="00807AFE" w:rsidRDefault="00807AFE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Podrobná kontrola predložených ponúk, zapojenie odborníkov na ceny</w:t>
            </w:r>
          </w:p>
          <w:p w:rsidR="00807AFE" w:rsidRDefault="00807AFE" w:rsidP="00DD4F1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Vyhlasovanie súťaží s ohľadom na kapacitu stavebného trhu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40" w:rsidRDefault="00E74216" w:rsidP="00DD4F1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CF0FBE" w:rsidRPr="00243E6E" w:rsidTr="000C27AF">
        <w:trPr>
          <w:trHeight w:val="729"/>
        </w:trPr>
        <w:tc>
          <w:tcPr>
            <w:tcW w:w="1686" w:type="dxa"/>
            <w:vMerge/>
          </w:tcPr>
          <w:p w:rsidR="00CF0FBE" w:rsidRPr="00243E6E" w:rsidRDefault="00CF0FBE" w:rsidP="00CF0FBE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FBE" w:rsidRPr="00243E6E" w:rsidRDefault="00CF0FBE" w:rsidP="00CF0FBE">
            <w:pPr>
              <w:spacing w:before="40" w:after="40"/>
              <w:ind w:left="136" w:right="12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Default="00CF0FBE" w:rsidP="00CF0FB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Riziká súvisiace so zmluvným partnerom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Default="00CF0FBE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Nízka kvalita alebo zlá finančná situácia dodávateľa</w:t>
            </w:r>
          </w:p>
          <w:p w:rsidR="00CF0FBE" w:rsidRPr="00243E6E" w:rsidRDefault="00CF0FBE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Nízka kvalita výstupov dodávateľa</w:t>
            </w:r>
            <w:r w:rsidRPr="00BB4C40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CA50EF" w:rsidRDefault="00CF0FBE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CA50EF" w:rsidRDefault="00CF0FBE" w:rsidP="00CF0FB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CA50EF" w:rsidRDefault="00CF0FBE" w:rsidP="00CF0FB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CA50EF" w:rsidRDefault="00CF0FBE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</w:t>
            </w:r>
            <w:r w:rsidR="003B770D">
              <w:rPr>
                <w:iCs/>
                <w:sz w:val="20"/>
                <w:szCs w:val="20"/>
              </w:rPr>
              <w:t>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Default="00CF0FBE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Hodnotiace kritériá kombinujúce kvalitu a cenu, nie na základe kritéria najnižšej ceny</w:t>
            </w:r>
          </w:p>
          <w:p w:rsidR="00CF0FBE" w:rsidRDefault="00CF0FBE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Vhodné minimálne ekonomické a technické požiadavky na dodávateľa </w:t>
            </w:r>
          </w:p>
          <w:p w:rsidR="00CF0FBE" w:rsidRDefault="00CF0FBE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Rovnomerné rozloženie rizika v rámci zmluvných podmienok</w:t>
            </w:r>
          </w:p>
          <w:p w:rsidR="005C27D9" w:rsidRDefault="005C27D9" w:rsidP="005C27D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Zabezpečenie kvalitného externého stavebného dozoru</w:t>
            </w:r>
          </w:p>
          <w:p w:rsidR="005C27D9" w:rsidRDefault="005C27D9" w:rsidP="005C27D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Prísna kontrola kvality dodaných výstupov v zmysle platných technických predpisov (kvalitár)</w:t>
            </w:r>
          </w:p>
          <w:p w:rsidR="003B770D" w:rsidRPr="00CA50EF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Zapracovanie doložky pre indexáciu zmluvnej ceny s ohľadom na rast cien v ekonomike (napr. MP 6/2018)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CA50EF" w:rsidRDefault="00CF0FBE" w:rsidP="00CF0FB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3B770D" w:rsidRPr="00243E6E" w:rsidTr="000C27AF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243E6E" w:rsidRDefault="003B770D" w:rsidP="003B770D">
            <w:pPr>
              <w:spacing w:before="40" w:after="40"/>
              <w:ind w:left="136" w:right="128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243E6E" w:rsidRDefault="003B770D" w:rsidP="003B770D">
            <w:pPr>
              <w:spacing w:before="40" w:after="40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Riziká súvisiace so stavebným dozorom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Slabé kapacity interného stavebného dozoru</w:t>
            </w:r>
          </w:p>
          <w:p w:rsidR="003B770D" w:rsidRPr="00243E6E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 Nízka kvalita služieb externého stavebného dozoru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Zvyšovanie investičných výdavkov</w:t>
            </w:r>
          </w:p>
          <w:p w:rsidR="003B770D" w:rsidRPr="00243E6E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Predlžovanie lehoty výstavby, a tým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243E6E" w:rsidRDefault="003B770D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243E6E" w:rsidRDefault="003B770D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243E6E" w:rsidRDefault="003B770D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Vyhlásenie súťaže na externý stavebný dozor ešte pred vyhlásením súťaže na stavebné práce, aby mohol externý stavebný dozor nastúpiť od začiatku výstavby</w:t>
            </w:r>
          </w:p>
          <w:p w:rsidR="003B770D" w:rsidRPr="00C76DA3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3B770D">
              <w:rPr>
                <w:iCs/>
                <w:sz w:val="20"/>
                <w:szCs w:val="20"/>
              </w:rPr>
              <w:t>Hodnotiace kritériá kombinujúce kvalitu a cenu, nie na základe kritéria najnižšej ceny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243E6E" w:rsidRDefault="00742D2D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3B770D" w:rsidRPr="00243E6E" w:rsidTr="000C27AF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 w:rsidRPr="00647659">
              <w:rPr>
                <w:bCs/>
                <w:iCs/>
                <w:sz w:val="20"/>
                <w:szCs w:val="20"/>
              </w:rPr>
              <w:t xml:space="preserve">Zmeny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Zistenia archeologického prieskumu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Neočakávané archeologické nálezy a s tým súvisiace požiadavky pamiatkovej ochrany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Zvýšenie investičných výdavkov</w:t>
            </w:r>
          </w:p>
          <w:p w:rsidR="003B770D" w:rsidRPr="00647659" w:rsidRDefault="003B770D" w:rsidP="00E0674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</w:t>
            </w:r>
            <w:r w:rsidR="00E0674C">
              <w:rPr>
                <w:iCs/>
                <w:sz w:val="20"/>
                <w:szCs w:val="20"/>
              </w:rPr>
              <w:t>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0674C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0674C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0674C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Nízka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74C" w:rsidRPr="00C76DA3" w:rsidRDefault="00E0674C" w:rsidP="00E0674C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Vykonanie predbežného archeologického prieskumu s ohľadom na lokalitu investície</w:t>
            </w:r>
            <w:r w:rsidR="00D218BD">
              <w:rPr>
                <w:iCs/>
                <w:sz w:val="20"/>
                <w:szCs w:val="20"/>
              </w:rPr>
              <w:t xml:space="preserve"> a zohľadnenie výsledkov v harmonograme/rozpočte investície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0674C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3B770D" w:rsidRPr="00243E6E" w:rsidTr="000C27AF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Zmeny technického riešenia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526554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AE7553">
              <w:rPr>
                <w:iCs/>
                <w:sz w:val="20"/>
                <w:szCs w:val="20"/>
              </w:rPr>
              <w:t>Potreba úpravy technického riešenia investície alebo jej časti (často napr. z dôvodu iných geologických podmienok, inej polohy sietí a pod.)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83D" w:rsidRDefault="00D7383D" w:rsidP="00D7383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Zvýšenie investičných výdavkov</w:t>
            </w:r>
          </w:p>
          <w:p w:rsidR="00D7383D" w:rsidRDefault="00D7383D" w:rsidP="00D7383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Neoprávnenosť investície na spolufinancovanie z fondov EÚ</w:t>
            </w:r>
          </w:p>
          <w:p w:rsidR="003B770D" w:rsidRPr="00647659" w:rsidRDefault="00D7383D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Finančné korekcie/pokuty s dopadom na deficit štátneho rozpočtu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7C66FF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7C66FF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7C66FF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AA65E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Kvalitná a aktuálna projektová dokumentácia</w:t>
            </w:r>
            <w:r w:rsidR="00517FEB">
              <w:rPr>
                <w:iCs/>
                <w:sz w:val="20"/>
                <w:szCs w:val="20"/>
              </w:rPr>
              <w:t xml:space="preserve">, vykonanie podrobných </w:t>
            </w:r>
            <w:r w:rsidR="00D95705">
              <w:rPr>
                <w:iCs/>
                <w:sz w:val="20"/>
                <w:szCs w:val="20"/>
              </w:rPr>
              <w:t xml:space="preserve">geologických a hydrogeologických </w:t>
            </w:r>
            <w:r w:rsidR="00517FEB">
              <w:rPr>
                <w:iCs/>
                <w:sz w:val="20"/>
                <w:szCs w:val="20"/>
              </w:rPr>
              <w:t>prieskumov</w:t>
            </w:r>
            <w:r w:rsidR="00D95705">
              <w:rPr>
                <w:iCs/>
                <w:sz w:val="20"/>
                <w:szCs w:val="20"/>
              </w:rPr>
              <w:t>, zvýšená opatrnosť pri potenciálnych zosuvných územiach, monitorovanie ešte pred výstavbou</w:t>
            </w:r>
          </w:p>
          <w:p w:rsidR="00A541FB" w:rsidRDefault="00A541FB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V prípade projektov tunelov spracovať tzv. Hydrogeologický kódex razenia (tzv. </w:t>
            </w:r>
            <w:proofErr w:type="spellStart"/>
            <w:r>
              <w:rPr>
                <w:iCs/>
                <w:sz w:val="20"/>
                <w:szCs w:val="20"/>
              </w:rPr>
              <w:t>Hydrogeological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Excavation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Code</w:t>
            </w:r>
            <w:proofErr w:type="spellEnd"/>
            <w:r>
              <w:rPr>
                <w:iCs/>
                <w:sz w:val="20"/>
                <w:szCs w:val="20"/>
              </w:rPr>
              <w:t>)</w:t>
            </w:r>
          </w:p>
          <w:p w:rsidR="00316A88" w:rsidRDefault="00316A88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Kontrola kvality projektovej dokumentácie (napr. aj treťou stranou)</w:t>
            </w:r>
          </w:p>
          <w:p w:rsidR="00316A88" w:rsidRDefault="00316A88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Kvalitný stavebný dozor, ideálne externý s dostatočnou odbornosťou a</w:t>
            </w:r>
            <w:r w:rsidR="002623FA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kapacitou</w:t>
            </w:r>
          </w:p>
          <w:p w:rsidR="002623FA" w:rsidRPr="00C76DA3" w:rsidRDefault="002623FA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Vhodné nastavenie zmluvných podmienok (červená resp. žltá kniha FIDIC), prípade využitie iných modelov, napr. spoločné aliancie podľa fínskeho vzoru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623FA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Vysoké</w:t>
            </w:r>
          </w:p>
        </w:tc>
      </w:tr>
      <w:tr w:rsidR="003B770D" w:rsidRPr="00243E6E" w:rsidTr="009E3D25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Dodatočné stavebné práce alebo služby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C1F38" w:rsidP="009E3D25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9E3D25">
              <w:rPr>
                <w:iCs/>
                <w:sz w:val="20"/>
                <w:szCs w:val="20"/>
              </w:rPr>
              <w:t>Prekročenie zmluvných</w:t>
            </w:r>
            <w:r>
              <w:rPr>
                <w:iCs/>
                <w:sz w:val="20"/>
                <w:szCs w:val="20"/>
              </w:rPr>
              <w:t xml:space="preserve"> množstiev položiek výkazu výmer </w:t>
            </w:r>
            <w:r w:rsidR="009E3D25">
              <w:rPr>
                <w:iCs/>
                <w:sz w:val="20"/>
                <w:szCs w:val="20"/>
              </w:rPr>
              <w:t>a/</w:t>
            </w:r>
            <w:r>
              <w:rPr>
                <w:iCs/>
                <w:sz w:val="20"/>
                <w:szCs w:val="20"/>
              </w:rPr>
              <w:t xml:space="preserve">alebo množstva služieb </w:t>
            </w:r>
            <w:r w:rsidR="009E3D25">
              <w:rPr>
                <w:iCs/>
                <w:sz w:val="20"/>
                <w:szCs w:val="20"/>
              </w:rPr>
              <w:t>stavebného dozoru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A65" w:rsidRDefault="00132A65" w:rsidP="00132A65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Zvýšenie investičných výdavkov</w:t>
            </w:r>
          </w:p>
          <w:p w:rsidR="00132A65" w:rsidRDefault="00132A65" w:rsidP="00132A65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Neoprávnenosť investície na spolufinancovanie z fondov EÚ</w:t>
            </w:r>
          </w:p>
          <w:p w:rsidR="003B770D" w:rsidRPr="00647659" w:rsidRDefault="00132A65" w:rsidP="00132A65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Finančné korekcie/pokuty s dopadom na deficit štátneho rozpočtu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C1F38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C1F38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C1F38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2F" w:rsidRDefault="009E3D25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Kvalitná a aktuálna projektová dokumentácia, kontrola súladu jednotlivých častí (napr. rozpočet a výkresy)</w:t>
            </w:r>
            <w:r w:rsidR="00F3102F">
              <w:rPr>
                <w:iCs/>
                <w:sz w:val="20"/>
                <w:szCs w:val="20"/>
              </w:rPr>
              <w:t xml:space="preserve">, </w:t>
            </w:r>
          </w:p>
          <w:p w:rsidR="003B770D" w:rsidRDefault="00F3102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 prípade tunelov pripraviť očakávanú bilanciu materiálov a skládkovanie/využitie nadbytočného materiálu</w:t>
            </w:r>
          </w:p>
          <w:p w:rsidR="009E3D25" w:rsidRDefault="009E3D25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Zavedenie systému BIM do procesu prípravy a výstavby</w:t>
            </w:r>
          </w:p>
          <w:p w:rsidR="009E3D25" w:rsidRDefault="009E3D25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Kvalitný externý stavebný dozor</w:t>
            </w:r>
          </w:p>
          <w:p w:rsidR="00F3102F" w:rsidRPr="00C76DA3" w:rsidRDefault="009E3D25" w:rsidP="009E3D25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Vytvorenie dostatočnej rezervy v rámci alokovaného rozpočtu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9E3D2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Vysoké</w:t>
            </w:r>
          </w:p>
        </w:tc>
      </w:tr>
      <w:tr w:rsidR="003B770D" w:rsidRPr="00243E6E" w:rsidTr="000C27AF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Nedodržiavanie vydaných povolení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D87389" w:rsidP="00AE755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Výstavba investície </w:t>
            </w:r>
            <w:r w:rsidR="00AE7553">
              <w:rPr>
                <w:iCs/>
                <w:sz w:val="20"/>
                <w:szCs w:val="20"/>
              </w:rPr>
              <w:t>neprebieha</w:t>
            </w:r>
            <w:r>
              <w:rPr>
                <w:iCs/>
                <w:sz w:val="20"/>
                <w:szCs w:val="20"/>
              </w:rPr>
              <w:t xml:space="preserve"> v súlade so schválenou projektovou dokumentáciou</w:t>
            </w:r>
          </w:p>
          <w:p w:rsidR="00AA65E6" w:rsidRPr="00647659" w:rsidRDefault="00AA65E6" w:rsidP="00AE755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Chýbajúce stavebné povolenie počas výstavby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89" w:rsidRDefault="00D87389" w:rsidP="00D8738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Prerušenie lehoty výstavby, oneskorenie alebo až nedokončenie investície</w:t>
            </w:r>
          </w:p>
          <w:p w:rsidR="003B770D" w:rsidRPr="00647659" w:rsidRDefault="00D87389" w:rsidP="00D8738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Finančné korekcie/pokuty s dopadom na deficit štátneho rozpočtu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D87389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D87389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D87389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D00D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Dôsledné dodržiavanie postupov výstavby zo strany investora</w:t>
            </w:r>
            <w:r w:rsidR="00C97EE5">
              <w:rPr>
                <w:iCs/>
                <w:sz w:val="20"/>
                <w:szCs w:val="20"/>
              </w:rPr>
              <w:t>, dostatočná odbornosť a kapacita</w:t>
            </w:r>
          </w:p>
          <w:p w:rsidR="003D00DF" w:rsidRDefault="003D00D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Zabezpečenie dostatočne odborného a početného tímu externého stavebného dozoru</w:t>
            </w:r>
          </w:p>
          <w:p w:rsidR="003D00DF" w:rsidRDefault="003D00D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Zabezpečenie pravidelnej kontroly zo strany autorského dozoru</w:t>
            </w:r>
          </w:p>
          <w:p w:rsidR="00AA65E6" w:rsidRPr="00C76DA3" w:rsidRDefault="00AA65E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Nikdy nevyhlasovať súťaž na stavebné práce bez kompletných stavených povolení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CA1922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3B770D" w:rsidRPr="00243E6E" w:rsidTr="00E3648B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Vis </w:t>
            </w:r>
            <w:proofErr w:type="spellStart"/>
            <w:r>
              <w:rPr>
                <w:bCs/>
                <w:iCs/>
                <w:sz w:val="20"/>
                <w:szCs w:val="20"/>
              </w:rPr>
              <w:t>mayor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udalosti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1B1EEA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Nepredvídateľné udalosti spôsobené vyššou mocou, napr. povodeň, zosuv, pandémia a pod.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1B1EEA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B1EEA">
              <w:rPr>
                <w:iCs/>
                <w:sz w:val="20"/>
                <w:szCs w:val="20"/>
              </w:rPr>
              <w:t>Prerušenie lehoty výstavby, oneskorenie alebo až nedokončenie investície</w:t>
            </w:r>
          </w:p>
          <w:p w:rsidR="001B1EEA" w:rsidRPr="00647659" w:rsidRDefault="001B1EEA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Zvýšenie investičných výdavkov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D73ADC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D73ADC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D73ADC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E3648B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Dostatočné zmluvné mechanizmy, napr. poistenie diela, spôsob delenia rizika medzi zmluvné strany</w:t>
            </w:r>
          </w:p>
          <w:p w:rsidR="00E3648B" w:rsidRPr="00C76DA3" w:rsidRDefault="00E3648B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Vytvorenie dostatočnej rezervy v rámci alokovaného rozpočtu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E3648B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</w:tr>
      <w:tr w:rsidR="003B770D" w:rsidRPr="00243E6E" w:rsidTr="002F024B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Negatívna publicita projektu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4B" w:rsidRPr="00647659" w:rsidRDefault="009D05B0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C93E1F">
              <w:rPr>
                <w:iCs/>
                <w:sz w:val="20"/>
                <w:szCs w:val="20"/>
              </w:rPr>
              <w:t>Sťažnosti verejnosti v súvislosti s prebiehajúcou výstavbou</w:t>
            </w:r>
            <w:r w:rsidR="002F024B">
              <w:rPr>
                <w:iCs/>
                <w:sz w:val="20"/>
                <w:szCs w:val="20"/>
              </w:rPr>
              <w:t xml:space="preserve"> (nedodržiavanie plánu organizácie výstavby, poriadku na stavenisku, aktivity mimo staveniska a pod.)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4B" w:rsidRPr="002F024B" w:rsidRDefault="002F024B" w:rsidP="002F024B">
            <w:pPr>
              <w:spacing w:before="40" w:after="40"/>
              <w:rPr>
                <w:iCs/>
                <w:sz w:val="20"/>
                <w:szCs w:val="20"/>
              </w:rPr>
            </w:pPr>
            <w:r w:rsidRPr="002F024B">
              <w:rPr>
                <w:iCs/>
                <w:sz w:val="20"/>
                <w:szCs w:val="20"/>
              </w:rPr>
              <w:t xml:space="preserve">- Prerušenie lehoty výstavby, </w:t>
            </w:r>
            <w:r>
              <w:rPr>
                <w:iCs/>
                <w:sz w:val="20"/>
                <w:szCs w:val="20"/>
              </w:rPr>
              <w:t xml:space="preserve">a tým </w:t>
            </w:r>
            <w:r w:rsidRPr="002F024B">
              <w:rPr>
                <w:iCs/>
                <w:sz w:val="20"/>
                <w:szCs w:val="20"/>
              </w:rPr>
              <w:t>oneskorenie investície</w:t>
            </w:r>
          </w:p>
          <w:p w:rsidR="003B770D" w:rsidRPr="00647659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F024B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F024B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F024B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4B" w:rsidRDefault="002F024B" w:rsidP="002F024B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2F024B">
              <w:rPr>
                <w:iCs/>
                <w:sz w:val="20"/>
                <w:szCs w:val="20"/>
              </w:rPr>
              <w:t>Zabezpečenie dostatočne odborného a početného tímu externého stavebného dozoru</w:t>
            </w:r>
          </w:p>
          <w:p w:rsidR="002F024B" w:rsidRPr="002F024B" w:rsidRDefault="002F024B" w:rsidP="002F024B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Pravidelná komunikácia s verejnosťou (tzv. </w:t>
            </w:r>
            <w:proofErr w:type="spellStart"/>
            <w:r>
              <w:rPr>
                <w:iCs/>
                <w:sz w:val="20"/>
                <w:szCs w:val="20"/>
              </w:rPr>
              <w:t>stakeholder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engagement</w:t>
            </w:r>
            <w:proofErr w:type="spellEnd"/>
            <w:r>
              <w:rPr>
                <w:iCs/>
                <w:sz w:val="20"/>
                <w:szCs w:val="20"/>
              </w:rPr>
              <w:t>)</w:t>
            </w:r>
          </w:p>
          <w:p w:rsidR="003B770D" w:rsidRPr="00C76DA3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F024B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3B770D" w:rsidRPr="00243E6E" w:rsidTr="002541F5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Zvyšovanie cien vstupných výrobných faktorov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C93E1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Negatívny makroekonomický trend, zvýšená inflácia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541F5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Bankrot zhotoviteľa, a tým oneskorenie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541F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541F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541F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C76DA3" w:rsidRDefault="00C93E1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Zapracovanie doložky pre indexáciu zmluvnej ceny s ohľadom na rast cien v ekonomike (napr. MP 6/2018)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2541F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3B770D" w:rsidRPr="00243E6E" w:rsidTr="0009708F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F37AAF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Neočakávané požiadavky </w:t>
            </w:r>
            <w:r w:rsidR="00F37AAF">
              <w:rPr>
                <w:bCs/>
                <w:iCs/>
                <w:sz w:val="20"/>
                <w:szCs w:val="20"/>
              </w:rPr>
              <w:t>tretích strán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F37AA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5A3D46">
              <w:rPr>
                <w:iCs/>
                <w:sz w:val="20"/>
                <w:szCs w:val="20"/>
              </w:rPr>
              <w:t>Iné požiadavky tretích strán počas výstavby alebo pred kolaudáciou ako bolo uvedené v stavebnom povolení, napr. polícia, hygienik a pod.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5A3D4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Oneskorenie investície</w:t>
            </w:r>
          </w:p>
          <w:p w:rsidR="005A3D46" w:rsidRDefault="005A3D4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A3D46">
              <w:rPr>
                <w:iCs/>
                <w:sz w:val="20"/>
                <w:szCs w:val="20"/>
              </w:rPr>
              <w:t>Zvýšenie investičných výdavkov</w:t>
            </w:r>
          </w:p>
          <w:p w:rsidR="005A3D46" w:rsidRPr="00647659" w:rsidRDefault="005A3D4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Finančné korekcie/pokuty s dopadom na deficit štátneho rozpočtu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327D03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327D03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327D03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09708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09708F">
              <w:rPr>
                <w:iCs/>
                <w:sz w:val="20"/>
                <w:szCs w:val="20"/>
              </w:rPr>
              <w:t>Aktívna iniciácia úpravy legislatívy</w:t>
            </w:r>
          </w:p>
          <w:p w:rsidR="0009708F" w:rsidRDefault="0009708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Aktualizácia projektovej dokumentácie pred verejným obstarávaním, vrátane stanovísk tretích strán</w:t>
            </w:r>
          </w:p>
          <w:p w:rsidR="0009708F" w:rsidRPr="00C76DA3" w:rsidRDefault="0009708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09708F">
              <w:rPr>
                <w:iCs/>
                <w:sz w:val="20"/>
                <w:szCs w:val="20"/>
              </w:rPr>
              <w:t>Vytvorenie dostatočnej rezervy v rámci alokovaného rozpočtu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09708F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3B770D" w:rsidRPr="00243E6E" w:rsidTr="001F38B6">
        <w:trPr>
          <w:trHeight w:val="708"/>
        </w:trPr>
        <w:tc>
          <w:tcPr>
            <w:tcW w:w="1686" w:type="dxa"/>
            <w:vMerge/>
          </w:tcPr>
          <w:p w:rsidR="003B770D" w:rsidRPr="00243E6E" w:rsidRDefault="003B770D" w:rsidP="003B770D">
            <w:pPr>
              <w:spacing w:before="40" w:after="40"/>
              <w:ind w:left="125" w:right="13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Pr="00647659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Zmeny vo vyvolaných investíciách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FD4DA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Iná poloha a/alebo nezakreslené inžinierske siete</w:t>
            </w:r>
          </w:p>
          <w:p w:rsidR="00FD4DA6" w:rsidRPr="00647659" w:rsidRDefault="00FD4DA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Požiadavky na nominovaných dodávateľov v rámci prekládky inžinierskych sietí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FD" w:rsidRDefault="00A63CFD" w:rsidP="00A63CF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A3D46">
              <w:rPr>
                <w:iCs/>
                <w:sz w:val="20"/>
                <w:szCs w:val="20"/>
              </w:rPr>
              <w:t>Zvýšenie investičných výdavkov</w:t>
            </w:r>
          </w:p>
          <w:p w:rsidR="003B770D" w:rsidRPr="00647659" w:rsidRDefault="00A63CFD" w:rsidP="00A63CF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Finančné korekcie/pokuty s dopadom na deficit štátneho rozpočtu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1F38B6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1F38B6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1F38B6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B6" w:rsidRDefault="001F38B6" w:rsidP="001F38B6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09708F">
              <w:rPr>
                <w:iCs/>
                <w:sz w:val="20"/>
                <w:szCs w:val="20"/>
              </w:rPr>
              <w:t>Aktívna iniciácia úpravy legislatívy</w:t>
            </w:r>
          </w:p>
          <w:p w:rsidR="001F38B6" w:rsidRDefault="001F38B6" w:rsidP="001F38B6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Aktualizácia projektovej dokumentácie pred verejným obstarávaním, predbežné dohody s vlastníkmi inžinierskych sietí</w:t>
            </w:r>
          </w:p>
          <w:p w:rsidR="003B770D" w:rsidRPr="00C76DA3" w:rsidRDefault="003B770D" w:rsidP="003B770D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647659" w:rsidRDefault="001F38B6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3B770D" w:rsidRPr="00243E6E" w:rsidTr="00E302D1">
        <w:trPr>
          <w:trHeight w:val="708"/>
        </w:trPr>
        <w:tc>
          <w:tcPr>
            <w:tcW w:w="1686" w:type="dxa"/>
            <w:vMerge w:val="restart"/>
          </w:tcPr>
          <w:p w:rsidR="003B770D" w:rsidRPr="00D8362E" w:rsidRDefault="003B770D" w:rsidP="003B770D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  <w:r w:rsidRPr="00D8362E">
              <w:rPr>
                <w:bCs/>
                <w:iCs/>
                <w:sz w:val="20"/>
                <w:szCs w:val="20"/>
              </w:rPr>
              <w:t>Prevádzka</w:t>
            </w:r>
          </w:p>
        </w:tc>
        <w:tc>
          <w:tcPr>
            <w:tcW w:w="1843" w:type="dxa"/>
            <w:vMerge w:val="restart"/>
          </w:tcPr>
          <w:p w:rsidR="003B770D" w:rsidRPr="00D8362E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Ekonomické dopady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Nenaplnenie spoločenských predpokladov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FE2C5E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Nepresné predpoklady v ekonomickom hodnotení investície, napr. jednotkové ceny spoločenských nákladov, očakávaný rast HDP, miera automobilizácie a pod.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FE2C5E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Zníženie spoločenských prínosov investície, zníženie blahobytu</w:t>
            </w:r>
          </w:p>
          <w:p w:rsidR="0022520E" w:rsidRDefault="0022520E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Neoprávnenosť </w:t>
            </w:r>
            <w:r w:rsidRPr="0022520E">
              <w:rPr>
                <w:iCs/>
                <w:sz w:val="20"/>
                <w:szCs w:val="20"/>
              </w:rPr>
              <w:t>investície na spolufinancovanie z fondov EÚ</w:t>
            </w:r>
          </w:p>
          <w:p w:rsidR="00FE2C5E" w:rsidRPr="00D8362E" w:rsidRDefault="00FE2C5E" w:rsidP="00FE2C5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Negatívna publicita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22520E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22520E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22520E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22520E" w:rsidP="00E302D1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E302D1">
              <w:rPr>
                <w:iCs/>
                <w:sz w:val="20"/>
                <w:szCs w:val="20"/>
              </w:rPr>
              <w:t xml:space="preserve">Aktualizácia </w:t>
            </w:r>
            <w:r w:rsidR="00E40AA1">
              <w:rPr>
                <w:iCs/>
                <w:sz w:val="20"/>
                <w:szCs w:val="20"/>
              </w:rPr>
              <w:t>štúdie uskutočniteľnosti/</w:t>
            </w:r>
            <w:r w:rsidR="00E302D1">
              <w:rPr>
                <w:iCs/>
                <w:sz w:val="20"/>
                <w:szCs w:val="20"/>
              </w:rPr>
              <w:t xml:space="preserve">CBA so zohľadnením najnovších údajov a predpokladov </w:t>
            </w:r>
            <w:r w:rsidR="00E40AA1">
              <w:rPr>
                <w:iCs/>
                <w:sz w:val="20"/>
                <w:szCs w:val="20"/>
              </w:rPr>
              <w:t xml:space="preserve">ešte </w:t>
            </w:r>
            <w:r w:rsidR="00E302D1">
              <w:rPr>
                <w:iCs/>
                <w:sz w:val="20"/>
                <w:szCs w:val="20"/>
              </w:rPr>
              <w:t>počas prípravy investície</w:t>
            </w:r>
          </w:p>
          <w:p w:rsidR="00E302D1" w:rsidRPr="00C76DA3" w:rsidRDefault="00E302D1" w:rsidP="00E302D1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E40AA1">
              <w:rPr>
                <w:iCs/>
                <w:sz w:val="20"/>
                <w:szCs w:val="20"/>
              </w:rPr>
              <w:t xml:space="preserve">Použitie konzervatívnych odhadov, eliminácia zaujatosti (tzv. </w:t>
            </w:r>
            <w:proofErr w:type="spellStart"/>
            <w:r w:rsidR="00E40AA1">
              <w:rPr>
                <w:iCs/>
                <w:sz w:val="20"/>
                <w:szCs w:val="20"/>
              </w:rPr>
              <w:t>bias</w:t>
            </w:r>
            <w:proofErr w:type="spellEnd"/>
            <w:r w:rsidR="00E40AA1">
              <w:rPr>
                <w:iCs/>
                <w:sz w:val="20"/>
                <w:szCs w:val="20"/>
              </w:rPr>
              <w:t>), testovanie citlivosti výsledkov CBA na vstupné premenné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E302D1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3B770D" w:rsidRPr="00243E6E" w:rsidTr="00713B55">
        <w:trPr>
          <w:trHeight w:val="708"/>
        </w:trPr>
        <w:tc>
          <w:tcPr>
            <w:tcW w:w="1686" w:type="dxa"/>
            <w:vMerge/>
          </w:tcPr>
          <w:p w:rsidR="003B770D" w:rsidRPr="00D8362E" w:rsidRDefault="003B770D" w:rsidP="003B770D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Nižšia miera využitia investície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54355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Nižšia miera intenzity vozidiel (cestujúcich, tovaru) využívajúcich investíciu ako sa očakávalo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543556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3F107C">
              <w:rPr>
                <w:iCs/>
                <w:sz w:val="20"/>
                <w:szCs w:val="20"/>
              </w:rPr>
              <w:t>Horší prevádzkový peňažný tok, a teda vyššie výdavky na prevádzku investície</w:t>
            </w:r>
          </w:p>
          <w:p w:rsidR="003F107C" w:rsidRDefault="003F107C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Pr="003F107C">
              <w:rPr>
                <w:iCs/>
                <w:sz w:val="20"/>
                <w:szCs w:val="20"/>
              </w:rPr>
              <w:t xml:space="preserve"> Zníženie spoločenských prínosov investície, zníženie blahobytu</w:t>
            </w:r>
          </w:p>
          <w:p w:rsidR="003F107C" w:rsidRPr="00D8362E" w:rsidRDefault="003F107C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Negatívna publicita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713B5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713B5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713B5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713B55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Jednoznačný a kvalitne premyslený prevádzkový koncept, napr. politika spoplatnenia – ako sú spoplatnené alternatívne trasy, zákaz tranzitu nákladných vozidiel, cenovo prístupné poplatky a pod.)</w:t>
            </w:r>
          </w:p>
          <w:p w:rsidR="00713B55" w:rsidRDefault="00713B55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Aktualizácia štúdie uskutočniteľnosti/CBA o najnovšie údaje o doprave (napr. nové prieskumy)</w:t>
            </w:r>
          </w:p>
          <w:p w:rsidR="00713B55" w:rsidRDefault="00713B55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Pr="00713B55">
              <w:rPr>
                <w:iCs/>
                <w:sz w:val="20"/>
                <w:szCs w:val="20"/>
              </w:rPr>
              <w:t xml:space="preserve"> Použitie konzervatívnych odhadov, eliminácia zaujatosti (tzv. </w:t>
            </w:r>
            <w:proofErr w:type="spellStart"/>
            <w:r w:rsidRPr="00713B55">
              <w:rPr>
                <w:iCs/>
                <w:sz w:val="20"/>
                <w:szCs w:val="20"/>
              </w:rPr>
              <w:t>bias</w:t>
            </w:r>
            <w:proofErr w:type="spellEnd"/>
            <w:r w:rsidRPr="00713B55">
              <w:rPr>
                <w:iCs/>
                <w:sz w:val="20"/>
                <w:szCs w:val="20"/>
              </w:rPr>
              <w:t>), testovanie citlivosti výsledkov CBA na vstupné premenné</w:t>
            </w:r>
          </w:p>
          <w:p w:rsidR="00982702" w:rsidRPr="00C76DA3" w:rsidRDefault="00982702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Dôraz na kvalitný manažment investičnej prípravy a plánovania v prípadoch, kedy je plné využitie investície závislé na nadväzujúcich investičných aktivitách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713B5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3B770D" w:rsidRPr="00243E6E" w:rsidTr="005A6500">
        <w:trPr>
          <w:trHeight w:val="708"/>
        </w:trPr>
        <w:tc>
          <w:tcPr>
            <w:tcW w:w="1686" w:type="dxa"/>
            <w:vMerge/>
          </w:tcPr>
          <w:p w:rsidR="003B770D" w:rsidRPr="00D8362E" w:rsidRDefault="003B770D" w:rsidP="003B770D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770D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Vyššia miera nehodovosti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0B7758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F32827">
              <w:rPr>
                <w:iCs/>
                <w:sz w:val="20"/>
                <w:szCs w:val="20"/>
              </w:rPr>
              <w:t>V prvých rokoch prevádzky investície sú zaznamenané vyššie počty resp. vyššia závažnosť nehôd v porovnaná s očakávaním alebo pôvodným stavom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27" w:rsidRPr="00F32827" w:rsidRDefault="00F32827" w:rsidP="00F32827">
            <w:pPr>
              <w:spacing w:before="40" w:after="40"/>
              <w:rPr>
                <w:iCs/>
                <w:sz w:val="20"/>
                <w:szCs w:val="20"/>
              </w:rPr>
            </w:pPr>
            <w:r w:rsidRPr="00F32827">
              <w:rPr>
                <w:iCs/>
                <w:sz w:val="20"/>
                <w:szCs w:val="20"/>
              </w:rPr>
              <w:t>- Zníženie spoločenských prínosov investície, zníženie blahobytu</w:t>
            </w:r>
          </w:p>
          <w:p w:rsidR="003B770D" w:rsidRPr="00D8362E" w:rsidRDefault="00F32827" w:rsidP="00F32827">
            <w:pPr>
              <w:spacing w:before="40" w:after="40"/>
              <w:rPr>
                <w:iCs/>
                <w:sz w:val="20"/>
                <w:szCs w:val="20"/>
              </w:rPr>
            </w:pPr>
            <w:r w:rsidRPr="00F32827">
              <w:rPr>
                <w:iCs/>
                <w:sz w:val="20"/>
                <w:szCs w:val="20"/>
              </w:rPr>
              <w:t>- Negatívna publicita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330F61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330F61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330F61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330F61" w:rsidP="00330F61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5A6500">
              <w:rPr>
                <w:iCs/>
                <w:sz w:val="20"/>
                <w:szCs w:val="20"/>
              </w:rPr>
              <w:t xml:space="preserve">Proaktívny prístup: </w:t>
            </w:r>
            <w:r>
              <w:rPr>
                <w:iCs/>
                <w:sz w:val="20"/>
                <w:szCs w:val="20"/>
              </w:rPr>
              <w:t>Pripraviť projektovú dokumentáciu s ohľadom na aspekty bezpečnosti, vykonať bezpečnostný audit pred vyhlásením verejného obstarávania ako aj pred odovzdaním do užívania (prípadne vykonať iné bezpečnostné testy a skúšky)</w:t>
            </w:r>
          </w:p>
          <w:p w:rsidR="00330F61" w:rsidRPr="00C76DA3" w:rsidRDefault="00330F61" w:rsidP="00330F61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5A6500">
              <w:rPr>
                <w:iCs/>
                <w:sz w:val="20"/>
                <w:szCs w:val="20"/>
              </w:rPr>
              <w:t>Reaktívny prístup: Vhodný systém sledovania vývoja miery bezpečnosti, pravidelné vykonanie bezpečnostnej inšpekcie v zmysle platnej legislatívy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5A6500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3B770D" w:rsidRPr="00243E6E" w:rsidTr="00077295">
        <w:trPr>
          <w:trHeight w:val="708"/>
        </w:trPr>
        <w:tc>
          <w:tcPr>
            <w:tcW w:w="1686" w:type="dxa"/>
            <w:vMerge/>
          </w:tcPr>
          <w:p w:rsidR="003B770D" w:rsidRPr="00D8362E" w:rsidRDefault="003B770D" w:rsidP="003B770D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B770D" w:rsidRPr="00D8362E" w:rsidRDefault="003B770D" w:rsidP="003B770D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Prevádzkyschopnosť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3B770D" w:rsidP="003B770D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Nedostatočná miera údržby a opráv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8C2B1F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Rýchla degradácia investície, zníženie kvality </w:t>
            </w:r>
            <w:r w:rsidR="005C06D3">
              <w:rPr>
                <w:iCs/>
                <w:sz w:val="20"/>
                <w:szCs w:val="20"/>
              </w:rPr>
              <w:t>a funkčnosti skôr ako sa očakávalo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D3" w:rsidRPr="005C06D3" w:rsidRDefault="005C06D3" w:rsidP="005C06D3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C06D3">
              <w:rPr>
                <w:iCs/>
                <w:sz w:val="20"/>
                <w:szCs w:val="20"/>
              </w:rPr>
              <w:t>Zníženie spoločenských prínosov investície, zníženie blahobytu</w:t>
            </w:r>
          </w:p>
          <w:p w:rsidR="003B770D" w:rsidRPr="00D8362E" w:rsidRDefault="005C06D3" w:rsidP="005C06D3">
            <w:pPr>
              <w:spacing w:before="40" w:after="40"/>
              <w:rPr>
                <w:iCs/>
                <w:sz w:val="20"/>
                <w:szCs w:val="20"/>
              </w:rPr>
            </w:pPr>
            <w:r w:rsidRPr="005C06D3">
              <w:rPr>
                <w:iCs/>
                <w:sz w:val="20"/>
                <w:szCs w:val="20"/>
              </w:rPr>
              <w:t>- Negatívna publicita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F41C49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F41C49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F41C49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Default="005C06D3" w:rsidP="003B770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Vierohodné vyčíslenie potrebných finančných zdrojov na prevádzku investície už počas projektovej prípravy, najmä v CBA</w:t>
            </w:r>
          </w:p>
          <w:p w:rsidR="005C06D3" w:rsidRDefault="005C06D3" w:rsidP="00F41C4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F41C49">
              <w:rPr>
                <w:iCs/>
                <w:sz w:val="20"/>
                <w:szCs w:val="20"/>
              </w:rPr>
              <w:t>Požiadavka na z</w:t>
            </w:r>
            <w:r>
              <w:rPr>
                <w:iCs/>
                <w:sz w:val="20"/>
                <w:szCs w:val="20"/>
              </w:rPr>
              <w:t>abezpečenie dostatočných finančných zdrojo</w:t>
            </w:r>
            <w:r w:rsidR="00BF0958">
              <w:rPr>
                <w:iCs/>
                <w:sz w:val="20"/>
                <w:szCs w:val="20"/>
              </w:rPr>
              <w:t>v</w:t>
            </w:r>
            <w:r w:rsidR="00F41C49">
              <w:rPr>
                <w:iCs/>
                <w:sz w:val="20"/>
                <w:szCs w:val="20"/>
              </w:rPr>
              <w:t xml:space="preserve"> na optimálnu údržbu investície počas jej životnosti</w:t>
            </w:r>
          </w:p>
          <w:p w:rsidR="00F41C49" w:rsidRPr="00C76DA3" w:rsidRDefault="00F41C49" w:rsidP="00F41C4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Dostatočné interné a externé kapacity na výkon odbornej údržby, efektívne obstaranie potrebných úkonov</w:t>
            </w:r>
          </w:p>
        </w:tc>
        <w:tc>
          <w:tcPr>
            <w:tcW w:w="127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70D" w:rsidRPr="00D8362E" w:rsidRDefault="00077295" w:rsidP="003B770D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Vysoké</w:t>
            </w:r>
          </w:p>
        </w:tc>
      </w:tr>
      <w:tr w:rsidR="00CF0FBE" w:rsidRPr="00243E6E" w:rsidTr="0009753E">
        <w:trPr>
          <w:trHeight w:val="708"/>
        </w:trPr>
        <w:tc>
          <w:tcPr>
            <w:tcW w:w="1686" w:type="dxa"/>
            <w:vMerge/>
          </w:tcPr>
          <w:p w:rsidR="00CF0FBE" w:rsidRPr="00D8362E" w:rsidRDefault="00CF0FBE" w:rsidP="00CF0FBE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FBE" w:rsidRDefault="00CF0FBE" w:rsidP="00CF0FBE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Default="00CF0FBE" w:rsidP="00CF0FBE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Vplyvy očakávanej klimatickej zmeny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D8362E" w:rsidRDefault="00271D51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Nepriaznivé vplyvy na investíciu počas prevádzky v dôsledku extrémnych prejavov počasia (povodne, zosuvy, víchrice, hmly, </w:t>
            </w:r>
            <w:r>
              <w:rPr>
                <w:iCs/>
                <w:sz w:val="20"/>
                <w:szCs w:val="20"/>
              </w:rPr>
              <w:lastRenderedPageBreak/>
              <w:t>námrazy, snehové náveje, extrémne horúčavy a pod.)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Default="00271D51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- Ohrozenie prevádzkyschopnosti investície</w:t>
            </w:r>
          </w:p>
          <w:p w:rsidR="00271D51" w:rsidRPr="00D8362E" w:rsidRDefault="00271D51" w:rsidP="00CF0FB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- Dodatočné výdavky na údržbu (sanáciu) spôsobených škôd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D8362E" w:rsidRDefault="00EB5E4A" w:rsidP="00CF0FB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D8362E" w:rsidRDefault="00EB5E4A" w:rsidP="00CF0FB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D8362E" w:rsidRDefault="00EB5E4A" w:rsidP="00CF0FB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Default="00EB5E4A" w:rsidP="00EB5E4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09753E">
              <w:rPr>
                <w:iCs/>
                <w:sz w:val="20"/>
                <w:szCs w:val="20"/>
              </w:rPr>
              <w:t xml:space="preserve">Posúdenie odolnosti investície voči očakávaným klimatickým zmenám, a to pre všetky technologické aspekty/objekty </w:t>
            </w:r>
            <w:r w:rsidR="0009753E">
              <w:rPr>
                <w:iCs/>
                <w:sz w:val="20"/>
                <w:szCs w:val="20"/>
              </w:rPr>
              <w:lastRenderedPageBreak/>
              <w:t>investície samostatnou štúdiou, ešte vo fáze projektovej prípravy</w:t>
            </w:r>
          </w:p>
          <w:p w:rsidR="0009753E" w:rsidRDefault="0009753E" w:rsidP="00EB5E4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Zohľadnenie výsledkov tejto štúdie a úprava dizajnu investície ešte pred realizáciou investície</w:t>
            </w:r>
          </w:p>
          <w:p w:rsidR="00CF0FBE" w:rsidRDefault="0009753E" w:rsidP="0009753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Kvalitný prevádzkový koncept </w:t>
            </w:r>
          </w:p>
          <w:p w:rsidR="00C56313" w:rsidRPr="00D8362E" w:rsidRDefault="00C56313" w:rsidP="0009753E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Plán krízového manažmentu, úzka spolupráca s bezpečnostnými zložkami, SHMÚ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BE" w:rsidRPr="00D8362E" w:rsidRDefault="0009753E" w:rsidP="00CF0FBE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Stredné</w:t>
            </w:r>
          </w:p>
        </w:tc>
      </w:tr>
      <w:tr w:rsidR="00EB5E4A" w:rsidRPr="00243E6E" w:rsidTr="00B76264">
        <w:trPr>
          <w:trHeight w:val="708"/>
        </w:trPr>
        <w:tc>
          <w:tcPr>
            <w:tcW w:w="1686" w:type="dxa"/>
            <w:vMerge/>
          </w:tcPr>
          <w:p w:rsidR="00EB5E4A" w:rsidRPr="00D8362E" w:rsidRDefault="00EB5E4A" w:rsidP="00EB5E4A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5E4A" w:rsidRDefault="00EB5E4A" w:rsidP="00EB5E4A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Default="00EB5E4A" w:rsidP="00EB5E4A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Nové požiadavky v oblasti IT alebo obnoviteľných zdrojov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DB0C67" w:rsidP="00DB0C67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Nové legislatívne požiadavky na európskej a/alebo národnej úrovni, napr. požiadavky na bezpečnosť a monitorovanie v tuneloch, požiadavky ohľadom uhlíkovej neutrality, </w:t>
            </w:r>
            <w:proofErr w:type="spellStart"/>
            <w:r>
              <w:rPr>
                <w:iCs/>
                <w:sz w:val="20"/>
                <w:szCs w:val="20"/>
              </w:rPr>
              <w:t>elektromobilitu</w:t>
            </w:r>
            <w:proofErr w:type="spellEnd"/>
            <w:r>
              <w:rPr>
                <w:iCs/>
                <w:sz w:val="20"/>
                <w:szCs w:val="20"/>
              </w:rPr>
              <w:t xml:space="preserve"> a pod. 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DB0C67" w:rsidP="00EB5E4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Dodatočné výdavky na vyššiu úroveň prevádzky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DB0C67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DB0C67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DB0C67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Default="00EB5E4A" w:rsidP="00B76264">
            <w:pPr>
              <w:spacing w:before="40" w:after="40"/>
              <w:rPr>
                <w:iCs/>
                <w:sz w:val="20"/>
                <w:szCs w:val="20"/>
              </w:rPr>
            </w:pPr>
            <w:r w:rsidRPr="00DA1230">
              <w:rPr>
                <w:iCs/>
                <w:sz w:val="20"/>
                <w:szCs w:val="20"/>
              </w:rPr>
              <w:t xml:space="preserve">- </w:t>
            </w:r>
            <w:r w:rsidR="00B76264">
              <w:rPr>
                <w:iCs/>
                <w:sz w:val="20"/>
                <w:szCs w:val="20"/>
              </w:rPr>
              <w:t>Sledovanie trendov, proaktívny prístup k novým technológiám, najmä takým, ktoré preukázateľne prinášajú hodnotu za peniaze, už v rámci projektovej prípravy</w:t>
            </w:r>
          </w:p>
          <w:p w:rsidR="00B76264" w:rsidRDefault="00B76264" w:rsidP="00B76264">
            <w:pPr>
              <w:spacing w:before="40" w:after="40"/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B76264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Stredné</w:t>
            </w:r>
          </w:p>
        </w:tc>
      </w:tr>
      <w:tr w:rsidR="00EB5E4A" w:rsidRPr="00243E6E" w:rsidTr="00E4295D">
        <w:trPr>
          <w:trHeight w:val="708"/>
        </w:trPr>
        <w:tc>
          <w:tcPr>
            <w:tcW w:w="1686" w:type="dxa"/>
            <w:vMerge/>
          </w:tcPr>
          <w:p w:rsidR="00EB5E4A" w:rsidRPr="00D8362E" w:rsidRDefault="00EB5E4A" w:rsidP="00EB5E4A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5E4A" w:rsidRDefault="00EB5E4A" w:rsidP="00EB5E4A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Default="00EB5E4A" w:rsidP="00EB5E4A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Nerealizovanie potrebných súvisiacich investícií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5B39C9" w:rsidP="00EB5E4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Funkčnosť a plnú prevádzkyschopnosť investície obmedzuje chýbajúca nadväzujúca infraštruktúra alebo technológia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ED" w:rsidRPr="00141AED" w:rsidRDefault="00141AED" w:rsidP="00141AE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41AED">
              <w:rPr>
                <w:iCs/>
                <w:sz w:val="20"/>
                <w:szCs w:val="20"/>
              </w:rPr>
              <w:t>Zníženie spoločenských prínosov investície, zníženie blahobytu</w:t>
            </w:r>
          </w:p>
          <w:p w:rsidR="00EB5E4A" w:rsidRDefault="00141AED" w:rsidP="00141AED">
            <w:pPr>
              <w:spacing w:before="40" w:after="40"/>
              <w:rPr>
                <w:iCs/>
                <w:sz w:val="20"/>
                <w:szCs w:val="20"/>
              </w:rPr>
            </w:pPr>
            <w:r w:rsidRPr="00141AED">
              <w:rPr>
                <w:iCs/>
                <w:sz w:val="20"/>
                <w:szCs w:val="20"/>
              </w:rPr>
              <w:t>- Negatívna publicita</w:t>
            </w:r>
          </w:p>
          <w:p w:rsidR="00141AED" w:rsidRPr="00D8362E" w:rsidRDefault="00141AED" w:rsidP="00141AE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Ohrozenie prevádzkyschopnosti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E4295D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E4295D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E4295D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Default="00EB5E4A" w:rsidP="00B76264">
            <w:pPr>
              <w:spacing w:before="40" w:after="40"/>
              <w:rPr>
                <w:iCs/>
                <w:sz w:val="20"/>
                <w:szCs w:val="20"/>
              </w:rPr>
            </w:pPr>
            <w:r w:rsidRPr="00DA1230">
              <w:rPr>
                <w:iCs/>
                <w:sz w:val="20"/>
                <w:szCs w:val="20"/>
              </w:rPr>
              <w:t xml:space="preserve">- </w:t>
            </w:r>
            <w:r w:rsidR="00E4295D" w:rsidRPr="00E4295D">
              <w:rPr>
                <w:iCs/>
                <w:sz w:val="20"/>
                <w:szCs w:val="20"/>
              </w:rPr>
              <w:t>Dôraz na kvalitný manažment investičnej prípravy a plánovania v prípadoch, kedy je plné využitie investície závislé na nadväzujúcich investičných aktivitách</w:t>
            </w:r>
            <w:r w:rsidR="005D549B">
              <w:rPr>
                <w:iCs/>
                <w:sz w:val="20"/>
                <w:szCs w:val="20"/>
              </w:rPr>
              <w:t>, logické nastavenie harmonogramu aktivít</w:t>
            </w:r>
            <w:r w:rsidR="00E27678">
              <w:rPr>
                <w:iCs/>
                <w:sz w:val="20"/>
                <w:szCs w:val="20"/>
              </w:rPr>
              <w:t xml:space="preserve"> namiesto politických želaní</w:t>
            </w:r>
          </w:p>
          <w:p w:rsidR="00E4295D" w:rsidRDefault="00E4295D" w:rsidP="00B76264">
            <w:pPr>
              <w:spacing w:before="40" w:after="40"/>
            </w:pPr>
            <w:r>
              <w:rPr>
                <w:iCs/>
                <w:sz w:val="20"/>
                <w:szCs w:val="20"/>
              </w:rPr>
              <w:t>- Flexibilný prevádzkový koncept</w:t>
            </w:r>
            <w:r w:rsidR="003D5129">
              <w:rPr>
                <w:iCs/>
                <w:sz w:val="20"/>
                <w:szCs w:val="20"/>
              </w:rPr>
              <w:t xml:space="preserve"> (plán B)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4A" w:rsidRPr="00D8362E" w:rsidRDefault="00E4295D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8B62CC" w:rsidRPr="00243E6E" w:rsidTr="00F925FF">
        <w:trPr>
          <w:trHeight w:val="708"/>
        </w:trPr>
        <w:tc>
          <w:tcPr>
            <w:tcW w:w="1686" w:type="dxa"/>
            <w:vMerge/>
          </w:tcPr>
          <w:p w:rsidR="008B62CC" w:rsidRPr="00D8362E" w:rsidRDefault="008B62CC" w:rsidP="00EB5E4A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B62CC" w:rsidRDefault="008B62CC" w:rsidP="00EB5E4A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Finančná udržateľnosť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CC" w:rsidRPr="00D8362E" w:rsidRDefault="008B62CC" w:rsidP="00EB5E4A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Nižšie výnosy z poplatkov za používanie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CC" w:rsidRPr="00D8362E" w:rsidRDefault="008B62CC" w:rsidP="00EB5E4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Nižší peňažný tok plynúci z používania investície ako sa očakávalo</w:t>
            </w:r>
            <w:r w:rsidR="00537996">
              <w:rPr>
                <w:iCs/>
                <w:sz w:val="20"/>
                <w:szCs w:val="20"/>
              </w:rPr>
              <w:t>, napr. z dôvodu menšieho počtu platiacich používateľov, zmeny legislatívy a pod.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CC" w:rsidRDefault="008B62CC" w:rsidP="00EB5E4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B62CC">
              <w:rPr>
                <w:iCs/>
                <w:sz w:val="20"/>
                <w:szCs w:val="20"/>
              </w:rPr>
              <w:t>Horší prevádzkový peňažný tok, a teda vyššie výdavky na prevádzku investície</w:t>
            </w:r>
          </w:p>
          <w:p w:rsidR="008B62CC" w:rsidRPr="00D8362E" w:rsidRDefault="008B62CC" w:rsidP="00EB5E4A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Ohrozenie prevádzkyschopnosti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CC" w:rsidRPr="00D8362E" w:rsidRDefault="008B62CC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CC" w:rsidRPr="00D8362E" w:rsidRDefault="008B62CC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CC" w:rsidRPr="00D8362E" w:rsidRDefault="008B62CC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CC" w:rsidRDefault="008B62CC" w:rsidP="00B76264">
            <w:pPr>
              <w:spacing w:before="40" w:after="40"/>
              <w:rPr>
                <w:iCs/>
                <w:sz w:val="20"/>
                <w:szCs w:val="20"/>
              </w:rPr>
            </w:pPr>
            <w:r w:rsidRPr="00DA1230">
              <w:rPr>
                <w:iCs/>
                <w:sz w:val="20"/>
                <w:szCs w:val="20"/>
              </w:rPr>
              <w:t xml:space="preserve">- </w:t>
            </w:r>
            <w:r w:rsidR="00316742">
              <w:rPr>
                <w:iCs/>
                <w:sz w:val="20"/>
                <w:szCs w:val="20"/>
              </w:rPr>
              <w:t>Aktualizácia CBA na úrovni finančnej analýzy ešte pred realizáciou investície, na základe toho stanovenie prevádzkových peňažných tokov</w:t>
            </w:r>
          </w:p>
          <w:p w:rsidR="00316742" w:rsidRDefault="00316742" w:rsidP="00B76264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Zabezpečenie dostatočných finančných zdrojov na prevádzku investície</w:t>
            </w:r>
          </w:p>
          <w:p w:rsidR="00316742" w:rsidRDefault="00316742" w:rsidP="00B76264">
            <w:pPr>
              <w:spacing w:before="40" w:after="40"/>
            </w:pPr>
            <w:r>
              <w:rPr>
                <w:iCs/>
                <w:sz w:val="20"/>
                <w:szCs w:val="20"/>
              </w:rPr>
              <w:t xml:space="preserve">- Využitie praktických konceptov </w:t>
            </w:r>
            <w:proofErr w:type="spellStart"/>
            <w:r>
              <w:rPr>
                <w:iCs/>
                <w:sz w:val="20"/>
                <w:szCs w:val="20"/>
              </w:rPr>
              <w:t>behaviorálnej</w:t>
            </w:r>
            <w:proofErr w:type="spellEnd"/>
            <w:r>
              <w:rPr>
                <w:iCs/>
                <w:sz w:val="20"/>
                <w:szCs w:val="20"/>
              </w:rPr>
              <w:t xml:space="preserve"> ekonómie (pozitívna/negatívna motivácia) na zvýšenie počtu používateľov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CC" w:rsidRPr="00D8362E" w:rsidRDefault="00F925FF" w:rsidP="00EB5E4A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67146F" w:rsidRPr="00243E6E" w:rsidTr="00DE5CFF">
        <w:trPr>
          <w:trHeight w:val="708"/>
        </w:trPr>
        <w:tc>
          <w:tcPr>
            <w:tcW w:w="1686" w:type="dxa"/>
            <w:vMerge/>
          </w:tcPr>
          <w:p w:rsidR="0067146F" w:rsidRPr="00D8362E" w:rsidRDefault="0067146F" w:rsidP="0067146F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7146F" w:rsidRDefault="0067146F" w:rsidP="0067146F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Default="0067146F" w:rsidP="0067146F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Zvyšovanie cien vstupných výrobných faktorov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647659" w:rsidRDefault="0067146F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Negatívny makroekonomický trend, zvýšená inflácia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6F20C6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6F20C6">
              <w:rPr>
                <w:iCs/>
                <w:sz w:val="20"/>
                <w:szCs w:val="20"/>
              </w:rPr>
              <w:t>Horší prevádzkový peňažný tok, a teda vyššie výdavky na prevádzku investície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DE5CFF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DE5CFF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DE5CFF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Default="00511D4D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Dostatočné rezervy materiálov/energií v rámci stredísk údržby</w:t>
            </w:r>
          </w:p>
          <w:p w:rsidR="00511D4D" w:rsidRPr="00DA1230" w:rsidRDefault="00511D4D" w:rsidP="00511D4D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Dlhodobé kontrakty s externými spoločnosťami, </w:t>
            </w:r>
            <w:proofErr w:type="spellStart"/>
            <w:r>
              <w:rPr>
                <w:iCs/>
                <w:sz w:val="20"/>
                <w:szCs w:val="20"/>
              </w:rPr>
              <w:t>hedging</w:t>
            </w:r>
            <w:proofErr w:type="spellEnd"/>
            <w:r>
              <w:rPr>
                <w:iCs/>
                <w:sz w:val="20"/>
                <w:szCs w:val="20"/>
              </w:rPr>
              <w:t xml:space="preserve"> cien, doložky pre indexáciu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DE5CFF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67146F" w:rsidRPr="00243E6E" w:rsidTr="00CE7734">
        <w:trPr>
          <w:trHeight w:val="708"/>
        </w:trPr>
        <w:tc>
          <w:tcPr>
            <w:tcW w:w="1686" w:type="dxa"/>
            <w:vMerge/>
          </w:tcPr>
          <w:p w:rsidR="0067146F" w:rsidRPr="00D8362E" w:rsidRDefault="0067146F" w:rsidP="0067146F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7146F" w:rsidRDefault="0067146F" w:rsidP="0067146F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Nespokojnosť verejnosti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67146F" w:rsidP="0067146F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Znížená miera kvality života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6B593A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Mieste obyvateľstvo je nespokojné s dopadmi investície, jej prevádzka spôsobuje zníženú kvalitu života</w:t>
            </w:r>
            <w:r w:rsidR="008B4568">
              <w:rPr>
                <w:iCs/>
                <w:sz w:val="20"/>
                <w:szCs w:val="20"/>
              </w:rPr>
              <w:t xml:space="preserve"> (napr. zvýšenie hluku)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322023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Negatívna publicita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CE7734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CE7734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CE7734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Nízka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Default="0067146F" w:rsidP="0067146F">
            <w:pPr>
              <w:spacing w:before="40" w:after="40"/>
              <w:rPr>
                <w:iCs/>
                <w:sz w:val="20"/>
                <w:szCs w:val="20"/>
              </w:rPr>
            </w:pPr>
            <w:r w:rsidRPr="00DA1230">
              <w:rPr>
                <w:iCs/>
                <w:sz w:val="20"/>
                <w:szCs w:val="20"/>
              </w:rPr>
              <w:t xml:space="preserve">- </w:t>
            </w:r>
            <w:r w:rsidR="00C437E8">
              <w:rPr>
                <w:iCs/>
                <w:sz w:val="20"/>
                <w:szCs w:val="20"/>
              </w:rPr>
              <w:t>Aktívne zapojenie verejnosti už v čase projektovej prípravy/EIA/štúdie uskutočniteľnosti</w:t>
            </w:r>
          </w:p>
          <w:p w:rsidR="00C437E8" w:rsidRDefault="00C437E8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Mať na mysli, že každý projekt môže mať víťazov aj porazených</w:t>
            </w:r>
          </w:p>
          <w:p w:rsidR="00C437E8" w:rsidRDefault="00C437E8" w:rsidP="0067146F">
            <w:pPr>
              <w:spacing w:before="40" w:after="40"/>
            </w:pPr>
            <w:r>
              <w:rPr>
                <w:iCs/>
                <w:sz w:val="20"/>
                <w:szCs w:val="20"/>
              </w:rPr>
              <w:t>- Dostatočne kvalitné a rozsiahle štúdie dopadov na obyvateľstvo (hlukové, emisné štúdie)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6F" w:rsidRPr="00D8362E" w:rsidRDefault="00CE7734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Nízke</w:t>
            </w:r>
          </w:p>
        </w:tc>
      </w:tr>
      <w:tr w:rsidR="00CE7734" w:rsidRPr="00243E6E" w:rsidTr="00CA52FC">
        <w:trPr>
          <w:trHeight w:val="708"/>
        </w:trPr>
        <w:tc>
          <w:tcPr>
            <w:tcW w:w="1686" w:type="dxa"/>
            <w:vMerge w:val="restart"/>
          </w:tcPr>
          <w:p w:rsidR="00CE7734" w:rsidRPr="00D8362E" w:rsidRDefault="00CE7734" w:rsidP="0067146F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Všeobecné</w:t>
            </w:r>
          </w:p>
        </w:tc>
        <w:tc>
          <w:tcPr>
            <w:tcW w:w="1843" w:type="dxa"/>
          </w:tcPr>
          <w:p w:rsidR="00CE7734" w:rsidRDefault="00CE7734" w:rsidP="0067146F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Interné kapacity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Default="00CE7734" w:rsidP="0067146F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Nedostatočné interné kapacity investora/prevádzkovateľa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871817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Nedostatočná inštitucionálna personálna a odborná kapacita, vysoká fluktuácia, nedostatočné platové ohodnotenie, čo spôsobuje vysokú chybovosť v procesoch a nízku kvalitu v rámci projektového cyklu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34" w:rsidRPr="007F4034" w:rsidRDefault="007F4034" w:rsidP="007F4034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7F4034">
              <w:rPr>
                <w:iCs/>
                <w:sz w:val="20"/>
                <w:szCs w:val="20"/>
              </w:rPr>
              <w:t>Oneskorenie investície</w:t>
            </w:r>
            <w:r>
              <w:rPr>
                <w:iCs/>
                <w:sz w:val="20"/>
                <w:szCs w:val="20"/>
              </w:rPr>
              <w:t>, prípadne až zastavenie investície</w:t>
            </w:r>
          </w:p>
          <w:p w:rsidR="00CE7734" w:rsidRDefault="007F4034" w:rsidP="007F4034">
            <w:pPr>
              <w:spacing w:before="40" w:after="40"/>
              <w:rPr>
                <w:iCs/>
                <w:sz w:val="20"/>
                <w:szCs w:val="20"/>
              </w:rPr>
            </w:pPr>
            <w:r w:rsidRPr="007F4034">
              <w:rPr>
                <w:iCs/>
                <w:sz w:val="20"/>
                <w:szCs w:val="20"/>
              </w:rPr>
              <w:t>- Zvýšenie investičných výdavkov</w:t>
            </w:r>
          </w:p>
          <w:p w:rsidR="007F4034" w:rsidRDefault="007F4034" w:rsidP="007F4034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7F4034">
              <w:rPr>
                <w:iCs/>
                <w:sz w:val="20"/>
                <w:szCs w:val="20"/>
              </w:rPr>
              <w:t>Neoprávnenosť investície na spolufinancovanie z fondov EÚ</w:t>
            </w:r>
          </w:p>
          <w:p w:rsidR="007F4034" w:rsidRPr="00D8362E" w:rsidRDefault="007F4034" w:rsidP="007F4034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Negatívna publicita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7F4034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7F4034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7F4034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Veľmi vysoká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Default="00CE7734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1A6C16">
              <w:rPr>
                <w:iCs/>
                <w:sz w:val="20"/>
                <w:szCs w:val="20"/>
              </w:rPr>
              <w:t xml:space="preserve">Zabezpečenie adekvátneho platového ohodnotenia pre interné kapacity </w:t>
            </w:r>
          </w:p>
          <w:p w:rsidR="001A6C16" w:rsidRDefault="001A6C16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Zníženie miery fluktuácie zamestnancov, nielen výkonných a odborných zamestnancov, ale aj riadiacich pracovníkov a vyššieho manažmentu</w:t>
            </w:r>
          </w:p>
          <w:p w:rsidR="001A6C16" w:rsidRDefault="00951D02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Vytvorenie vhodnej podnikovej kultúry, možnosti vzdelávania, výmeny skúseností, koučing a pod.</w:t>
            </w:r>
          </w:p>
          <w:p w:rsidR="00CE7734" w:rsidRPr="00D8362E" w:rsidRDefault="00951D02" w:rsidP="00951D02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Eliminácia rodinkárstva, profesionalizácia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CA52FC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</w:tr>
      <w:tr w:rsidR="00CE7734" w:rsidRPr="00243E6E" w:rsidTr="00E92D49">
        <w:trPr>
          <w:trHeight w:val="708"/>
        </w:trPr>
        <w:tc>
          <w:tcPr>
            <w:tcW w:w="1686" w:type="dxa"/>
            <w:vMerge/>
          </w:tcPr>
          <w:p w:rsidR="00CE7734" w:rsidRDefault="00CE7734" w:rsidP="0067146F">
            <w:pPr>
              <w:spacing w:before="40" w:after="40"/>
              <w:ind w:left="125" w:right="13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E7734" w:rsidRDefault="00CE7734" w:rsidP="0067146F">
            <w:pPr>
              <w:spacing w:before="40" w:after="40"/>
              <w:ind w:left="136" w:right="12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Súdne spory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Default="00371A96" w:rsidP="0067146F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Podania rôznych účastníkov v rámci projektového cyklu na súd v súvislosti s investíciou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Default="00371A96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Odvolanie sa proti rozhodnutiam správnych konaní, napr. v rámci verejného obstarávania, EIA, povolení a pod.</w:t>
            </w:r>
          </w:p>
          <w:p w:rsidR="00371A96" w:rsidRPr="00D8362E" w:rsidRDefault="00371A96" w:rsidP="0067146F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Pretrvávajúci súdny spor môže byť prekážkou pre získanie nevyhnutného spolufinancovania z externých zdrojov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96" w:rsidRPr="007F4034" w:rsidRDefault="00371A96" w:rsidP="00371A96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7F4034">
              <w:rPr>
                <w:iCs/>
                <w:sz w:val="20"/>
                <w:szCs w:val="20"/>
              </w:rPr>
              <w:t>Oneskorenie investície</w:t>
            </w:r>
            <w:r>
              <w:rPr>
                <w:iCs/>
                <w:sz w:val="20"/>
                <w:szCs w:val="20"/>
              </w:rPr>
              <w:t>, prípadne až zastavenie investície</w:t>
            </w:r>
          </w:p>
          <w:p w:rsidR="00371A96" w:rsidRDefault="00371A96" w:rsidP="00371A96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7F4034">
              <w:rPr>
                <w:iCs/>
                <w:sz w:val="20"/>
                <w:szCs w:val="20"/>
              </w:rPr>
              <w:t>Neoprávnenosť investície na spolufinancovanie z fondov EÚ</w:t>
            </w:r>
          </w:p>
          <w:p w:rsidR="00CE7734" w:rsidRPr="00D8362E" w:rsidRDefault="00CE7734" w:rsidP="0067146F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E92D49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E92D49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E92D49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C5" w:rsidRDefault="00CE7734" w:rsidP="00E92D4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414DC5">
              <w:rPr>
                <w:iCs/>
                <w:sz w:val="20"/>
                <w:szCs w:val="20"/>
              </w:rPr>
              <w:t>Súlad všetkých procesov s platnou legislatívou</w:t>
            </w:r>
          </w:p>
          <w:p w:rsidR="00414DC5" w:rsidRDefault="00414DC5" w:rsidP="00E92D49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Využívanie ex-</w:t>
            </w:r>
            <w:proofErr w:type="spellStart"/>
            <w:r>
              <w:rPr>
                <w:iCs/>
                <w:sz w:val="20"/>
                <w:szCs w:val="20"/>
              </w:rPr>
              <w:t>ante</w:t>
            </w:r>
            <w:proofErr w:type="spellEnd"/>
            <w:r>
              <w:rPr>
                <w:iCs/>
                <w:sz w:val="20"/>
                <w:szCs w:val="20"/>
              </w:rPr>
              <w:t xml:space="preserve"> kontroly, napr. súťažné podklady alebo pred podpisom zmluvy s ÚVO, využitie konzultácii s RO/JASPERS</w:t>
            </w:r>
          </w:p>
          <w:p w:rsidR="00E92D49" w:rsidRPr="00D8362E" w:rsidRDefault="00E92D49" w:rsidP="00E92D49">
            <w:pPr>
              <w:spacing w:before="40" w:after="40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34" w:rsidRPr="00D8362E" w:rsidRDefault="00E92D49" w:rsidP="0067146F">
            <w:pPr>
              <w:spacing w:before="40" w:after="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Stredná</w:t>
            </w:r>
          </w:p>
        </w:tc>
      </w:tr>
    </w:tbl>
    <w:p w:rsidR="00243E6E" w:rsidRDefault="00243E6E"/>
    <w:p w:rsidR="00371A96" w:rsidRDefault="00371A96" w:rsidP="00181352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181352" w:rsidRPr="00181352" w:rsidRDefault="00181352" w:rsidP="0018135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81352">
        <w:rPr>
          <w:rFonts w:ascii="Calibri" w:eastAsia="Calibri" w:hAnsi="Calibri" w:cs="Times New Roman"/>
        </w:rPr>
        <w:t xml:space="preserve">Pre posúdenie </w:t>
      </w:r>
      <w:r w:rsidRPr="00181352">
        <w:rPr>
          <w:rFonts w:ascii="Calibri" w:eastAsia="Calibri" w:hAnsi="Calibri" w:cs="Times New Roman"/>
          <w:b/>
          <w:bCs/>
        </w:rPr>
        <w:t>pravdepodobnosti výskytu</w:t>
      </w:r>
      <w:r w:rsidRPr="00181352">
        <w:rPr>
          <w:rFonts w:ascii="Calibri" w:eastAsia="Calibri" w:hAnsi="Calibri" w:cs="Times New Roman"/>
        </w:rPr>
        <w:t xml:space="preserve"> nežiaducej udalosti je možné použiť túto kategorizáciu:</w:t>
      </w:r>
    </w:p>
    <w:p w:rsidR="00181352" w:rsidRPr="00181352" w:rsidRDefault="00181352" w:rsidP="0018135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81352"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D92F6" wp14:editId="5DCB9AEB">
                <wp:simplePos x="0" y="0"/>
                <wp:positionH relativeFrom="column">
                  <wp:posOffset>13335</wp:posOffset>
                </wp:positionH>
                <wp:positionV relativeFrom="paragraph">
                  <wp:posOffset>124461</wp:posOffset>
                </wp:positionV>
                <wp:extent cx="6105525" cy="914400"/>
                <wp:effectExtent l="0" t="0" r="28575" b="19050"/>
                <wp:wrapNone/>
                <wp:docPr id="289" name="Obdĺžni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40AC" id="Obdĺžnik 289" o:spid="_x0000_s1026" style="position:absolute;margin-left:1.05pt;margin-top:9.8pt;width:480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" filled="f" strokecolor="#bfbfbf" strokeweight="2pt"/>
            </w:pict>
          </mc:Fallback>
        </mc:AlternateConten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 xml:space="preserve">Kategória A 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Calibri" w:eastAsia="Calibri" w:hAnsi="Calibri" w:cs="Times New Roman"/>
          <w:sz w:val="20"/>
          <w:szCs w:val="20"/>
        </w:rPr>
        <w:tab/>
        <w:t>Veľmi málo pravdepodobné (0-10 % šanca)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 xml:space="preserve">Kategória B 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Calibri" w:eastAsia="Calibri" w:hAnsi="Calibri" w:cs="Times New Roman"/>
          <w:sz w:val="20"/>
          <w:szCs w:val="20"/>
        </w:rPr>
        <w:tab/>
        <w:t>Málo pravdepodobné (10-33 % šanca)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 xml:space="preserve">Kategória C 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Calibri" w:eastAsia="Calibri" w:hAnsi="Calibri" w:cs="Times New Roman"/>
          <w:sz w:val="20"/>
          <w:szCs w:val="20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ab/>
        <w:t>Stredná miera pravdepodobnosti (33-66 % šanca)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 xml:space="preserve">Kategória D 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Calibri" w:eastAsia="Calibri" w:hAnsi="Calibri" w:cs="Times New Roman"/>
          <w:sz w:val="20"/>
          <w:szCs w:val="20"/>
        </w:rPr>
        <w:tab/>
        <w:t>Pravdepodobné (66-90 % šanca)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 xml:space="preserve">Kategória E 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Calibri" w:eastAsia="Calibri" w:hAnsi="Calibri" w:cs="Times New Roman"/>
          <w:sz w:val="20"/>
          <w:szCs w:val="20"/>
        </w:rPr>
        <w:tab/>
        <w:t>Vysoko pravdepodobné (90-100 % šanca)</w:t>
      </w:r>
    </w:p>
    <w:p w:rsidR="00181352" w:rsidRPr="00181352" w:rsidRDefault="00181352" w:rsidP="0018135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81352" w:rsidRPr="00181352" w:rsidRDefault="00181352" w:rsidP="0018135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81352">
        <w:rPr>
          <w:rFonts w:ascii="Calibri" w:eastAsia="Calibri" w:hAnsi="Calibri" w:cs="Times New Roman"/>
        </w:rPr>
        <w:t xml:space="preserve">Pre posúdenie </w:t>
      </w:r>
      <w:r w:rsidRPr="00181352">
        <w:rPr>
          <w:rFonts w:ascii="Calibri" w:eastAsia="Calibri" w:hAnsi="Calibri" w:cs="Times New Roman"/>
          <w:b/>
          <w:bCs/>
        </w:rPr>
        <w:t>závažnosti vplyvu</w:t>
      </w:r>
      <w:r w:rsidRPr="00181352">
        <w:rPr>
          <w:rFonts w:ascii="Calibri" w:eastAsia="Calibri" w:hAnsi="Calibri" w:cs="Times New Roman"/>
        </w:rPr>
        <w:t>, ak sa nežiaduca udalosť vyskytne, je možné použiť túto kategorizáciu:</w:t>
      </w:r>
    </w:p>
    <w:p w:rsidR="00181352" w:rsidRPr="00181352" w:rsidRDefault="00181352" w:rsidP="0018135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81352"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30203" wp14:editId="7971195C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6096000" cy="2038350"/>
                <wp:effectExtent l="0" t="0" r="19050" b="19050"/>
                <wp:wrapNone/>
                <wp:docPr id="290" name="Obdĺžni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038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EF8B1" id="Obdĺžnik 290" o:spid="_x0000_s1026" style="position:absolute;margin-left:1.05pt;margin-top:7.8pt;width:480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" filled="f" strokecolor="#bfbfbf" strokeweight="2pt"/>
            </w:pict>
          </mc:Fallback>
        </mc:AlternateConten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 xml:space="preserve">Kategória I 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Calibri" w:eastAsia="Calibri" w:hAnsi="Calibri" w:cs="Times New Roman"/>
          <w:sz w:val="20"/>
          <w:szCs w:val="20"/>
        </w:rPr>
        <w:tab/>
        <w:t>Žiadny relevantný vplyv na očakávané spoločenské prínosy projektu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>Kategória II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1352">
        <w:rPr>
          <w:rFonts w:ascii="Times New Roman" w:eastAsia="Calibri" w:hAnsi="Times New Roman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 xml:space="preserve">Malá strata spoločenských prínosov projektu, nie sú ovplyvnené dlhodobé prínosy 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  <w:t>projektu, avšak nápravné opatrenie sú nutné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>Kategória III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1352">
        <w:rPr>
          <w:rFonts w:ascii="Times New Roman" w:eastAsia="Calibri" w:hAnsi="Times New Roman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 xml:space="preserve">Stredná závažnosť vplyvu, strata očakávaných spoločenských prínosov projektu, väčšinou 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  <w:t xml:space="preserve">finančné,  aj v strednodobom a dlhodobom horizonte, nápravné opatrenia môžu vyriešiť 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  <w:t>problém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>Kategória IV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1352">
        <w:rPr>
          <w:rFonts w:ascii="Times New Roman" w:eastAsia="Calibri" w:hAnsi="Times New Roman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>Kritický</w:t>
      </w:r>
      <w:r w:rsidRPr="00181352">
        <w:rPr>
          <w:rFonts w:ascii="Calibri" w:eastAsia="Calibri" w:hAnsi="Calibri" w:cs="Times New Roman"/>
          <w:sz w:val="16"/>
          <w:szCs w:val="16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>vplyv,</w:t>
      </w:r>
      <w:r w:rsidRPr="00181352">
        <w:rPr>
          <w:rFonts w:ascii="Calibri" w:eastAsia="Calibri" w:hAnsi="Calibri" w:cs="Times New Roman"/>
          <w:sz w:val="16"/>
          <w:szCs w:val="16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>veľká</w:t>
      </w:r>
      <w:r w:rsidRPr="00181352">
        <w:rPr>
          <w:rFonts w:ascii="Calibri" w:eastAsia="Calibri" w:hAnsi="Calibri" w:cs="Times New Roman"/>
          <w:sz w:val="16"/>
          <w:szCs w:val="16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>strata</w:t>
      </w:r>
      <w:r w:rsidRPr="00181352">
        <w:rPr>
          <w:rFonts w:ascii="Calibri" w:eastAsia="Calibri" w:hAnsi="Calibri" w:cs="Times New Roman"/>
          <w:sz w:val="16"/>
          <w:szCs w:val="16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>očakávaných</w:t>
      </w:r>
      <w:r w:rsidRPr="00181352">
        <w:rPr>
          <w:rFonts w:ascii="Calibri" w:eastAsia="Calibri" w:hAnsi="Calibri" w:cs="Times New Roman"/>
          <w:sz w:val="16"/>
          <w:szCs w:val="16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 xml:space="preserve">spoločenských prínosov projektu, výskyt 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  <w:t xml:space="preserve">nežiaducej udalosti spôsobuje stratu primárnej funkčnosti projektu, nápravné opatrenia, 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  <w:t xml:space="preserve">aj keď realizované vo veľkom rozsahu, nepostačujú na to, aby sa predišlo významným 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  <w:t>škodám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>Kategória V</w:t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sym w:font="Symbol" w:char="F0AE"/>
      </w:r>
      <w:r w:rsidRPr="001813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1352">
        <w:rPr>
          <w:rFonts w:ascii="Times New Roman" w:eastAsia="Calibri" w:hAnsi="Times New Roman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>Katastrofický vplyv,</w:t>
      </w:r>
      <w:r w:rsidRPr="00181352">
        <w:rPr>
          <w:rFonts w:ascii="Calibri" w:eastAsia="Calibri" w:hAnsi="Calibri" w:cs="Times New Roman"/>
          <w:sz w:val="16"/>
          <w:szCs w:val="16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>významná,</w:t>
      </w:r>
      <w:r w:rsidRPr="00181352">
        <w:rPr>
          <w:rFonts w:ascii="Calibri" w:eastAsia="Calibri" w:hAnsi="Calibri" w:cs="Times New Roman"/>
          <w:sz w:val="16"/>
          <w:szCs w:val="16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>až</w:t>
      </w:r>
      <w:r w:rsidRPr="00181352">
        <w:rPr>
          <w:rFonts w:ascii="Calibri" w:eastAsia="Calibri" w:hAnsi="Calibri" w:cs="Times New Roman"/>
          <w:sz w:val="16"/>
          <w:szCs w:val="16"/>
        </w:rPr>
        <w:t xml:space="preserve"> </w:t>
      </w:r>
      <w:r w:rsidRPr="00181352">
        <w:rPr>
          <w:rFonts w:ascii="Calibri" w:eastAsia="Calibri" w:hAnsi="Calibri" w:cs="Times New Roman"/>
          <w:sz w:val="20"/>
          <w:szCs w:val="20"/>
        </w:rPr>
        <w:t xml:space="preserve">úplná strata funkčnosti projektu, ciele projektu sa </w:t>
      </w:r>
    </w:p>
    <w:p w:rsidR="00181352" w:rsidRPr="00181352" w:rsidRDefault="00181352" w:rsidP="00181352">
      <w:pPr>
        <w:tabs>
          <w:tab w:val="left" w:pos="1134"/>
          <w:tab w:val="left" w:pos="1560"/>
        </w:tabs>
        <w:spacing w:after="0" w:line="240" w:lineRule="auto"/>
        <w:ind w:left="284" w:right="282"/>
        <w:jc w:val="both"/>
        <w:rPr>
          <w:rFonts w:ascii="Calibri" w:eastAsia="Calibri" w:hAnsi="Calibri" w:cs="Times New Roman"/>
          <w:sz w:val="20"/>
          <w:szCs w:val="20"/>
        </w:rPr>
      </w:pP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</w:r>
      <w:r w:rsidRPr="00181352">
        <w:rPr>
          <w:rFonts w:ascii="Calibri" w:eastAsia="Calibri" w:hAnsi="Calibri" w:cs="Times New Roman"/>
          <w:sz w:val="20"/>
          <w:szCs w:val="20"/>
        </w:rPr>
        <w:tab/>
        <w:t>nezrealizujú ani v dlhodobom horizonte</w:t>
      </w:r>
    </w:p>
    <w:p w:rsidR="00181352" w:rsidRPr="00181352" w:rsidRDefault="00181352" w:rsidP="001813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181352" w:rsidRPr="00181352" w:rsidRDefault="00181352" w:rsidP="00181352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181352">
        <w:rPr>
          <w:rFonts w:ascii="Calibri" w:eastAsia="Calibri" w:hAnsi="Calibri" w:cs="Times New Roman"/>
        </w:rPr>
        <w:t>Výsledná úroveň rizika je kombináciou pravdepodobnosti a závažnosti vplyvu nežiaducej udalosti a možno ju určiť z nasledovnej matice:</w:t>
      </w:r>
    </w:p>
    <w:p w:rsidR="00181352" w:rsidRPr="00181352" w:rsidRDefault="00181352" w:rsidP="00181352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9333" w:type="dxa"/>
        <w:jc w:val="center"/>
        <w:tblLayout w:type="fixed"/>
        <w:tblLook w:val="04A0" w:firstRow="1" w:lastRow="0" w:firstColumn="1" w:lastColumn="0" w:noHBand="0" w:noVBand="1"/>
      </w:tblPr>
      <w:tblGrid>
        <w:gridCol w:w="1793"/>
        <w:gridCol w:w="1508"/>
        <w:gridCol w:w="1508"/>
        <w:gridCol w:w="1508"/>
        <w:gridCol w:w="1508"/>
        <w:gridCol w:w="1508"/>
      </w:tblGrid>
      <w:tr w:rsidR="00181352" w:rsidRPr="00181352" w:rsidTr="00181352">
        <w:trPr>
          <w:trHeight w:val="42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Závažnosť vplyvu</w:t>
            </w:r>
          </w:p>
        </w:tc>
      </w:tr>
      <w:tr w:rsidR="00181352" w:rsidRPr="00181352" w:rsidTr="00181352">
        <w:trPr>
          <w:trHeight w:val="422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Pravdepodobnosť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Kategória I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Kategória II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Kategória III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Kategória IV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Kategória V</w:t>
            </w:r>
          </w:p>
        </w:tc>
      </w:tr>
      <w:tr w:rsidR="00181352" w:rsidRPr="00181352" w:rsidTr="00181352">
        <w:trPr>
          <w:trHeight w:val="422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</w:rPr>
              <w:t>Kategória 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Nízka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Nízka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Nízka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Nízka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Stredná</w:t>
            </w:r>
          </w:p>
        </w:tc>
      </w:tr>
      <w:tr w:rsidR="00181352" w:rsidRPr="00181352" w:rsidTr="00181352">
        <w:trPr>
          <w:trHeight w:val="422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</w:rPr>
              <w:t>Kategória B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Nízka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Nízka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Stredná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Stredná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Vysoká</w:t>
            </w:r>
          </w:p>
        </w:tc>
      </w:tr>
      <w:tr w:rsidR="00181352" w:rsidRPr="00181352" w:rsidTr="00181352">
        <w:trPr>
          <w:trHeight w:val="422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</w:rPr>
              <w:t>Kategória C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Nízka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Stredná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Stredná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Vysoká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Vysoká</w:t>
            </w:r>
          </w:p>
        </w:tc>
      </w:tr>
      <w:tr w:rsidR="00181352" w:rsidRPr="00181352" w:rsidTr="00181352">
        <w:trPr>
          <w:trHeight w:val="422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</w:rPr>
              <w:t>Kategória D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Nízka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Stredná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Vysoká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Veľmi vysoká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Veľmi vysoká</w:t>
            </w:r>
          </w:p>
        </w:tc>
      </w:tr>
      <w:tr w:rsidR="00181352" w:rsidRPr="00181352" w:rsidTr="00181352">
        <w:trPr>
          <w:trHeight w:val="422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</w:rPr>
              <w:t>Kategória 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Stredná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Vysoká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Veľmi vysoká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Veľmi vysoká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181352" w:rsidRPr="00181352" w:rsidRDefault="00181352" w:rsidP="00181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13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Veľmi vysoká</w:t>
            </w:r>
          </w:p>
        </w:tc>
      </w:tr>
    </w:tbl>
    <w:p w:rsidR="00181352" w:rsidRPr="00243E6E" w:rsidRDefault="00181352"/>
    <w:sectPr w:rsidR="00181352" w:rsidRPr="00243E6E" w:rsidSect="00E4289C">
      <w:headerReference w:type="first" r:id="rId6"/>
      <w:pgSz w:w="23811" w:h="16838" w:orient="landscape" w:code="8"/>
      <w:pgMar w:top="127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F" w:rsidRDefault="00FC429F" w:rsidP="0052209B">
      <w:pPr>
        <w:spacing w:after="0" w:line="240" w:lineRule="auto"/>
      </w:pPr>
      <w:r>
        <w:separator/>
      </w:r>
    </w:p>
  </w:endnote>
  <w:endnote w:type="continuationSeparator" w:id="0">
    <w:p w:rsidR="00FC429F" w:rsidRDefault="00FC429F" w:rsidP="0052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F" w:rsidRDefault="00FC429F" w:rsidP="0052209B">
      <w:pPr>
        <w:spacing w:after="0" w:line="240" w:lineRule="auto"/>
      </w:pPr>
      <w:r>
        <w:separator/>
      </w:r>
    </w:p>
  </w:footnote>
  <w:footnote w:type="continuationSeparator" w:id="0">
    <w:p w:rsidR="00FC429F" w:rsidRDefault="00FC429F" w:rsidP="0052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9C" w:rsidRPr="0052209B" w:rsidRDefault="00E4289C" w:rsidP="00E4289C">
    <w:pPr>
      <w:tabs>
        <w:tab w:val="center" w:pos="4536"/>
        <w:tab w:val="right" w:pos="9072"/>
      </w:tabs>
      <w:spacing w:after="0" w:line="240" w:lineRule="auto"/>
      <w:rPr>
        <w:rFonts w:cstheme="minorHAnsi"/>
        <w:sz w:val="20"/>
        <w:szCs w:val="20"/>
      </w:rPr>
    </w:pPr>
    <w:r w:rsidRPr="0052209B">
      <w:rPr>
        <w:rFonts w:cstheme="minorHAnsi"/>
        <w:sz w:val="20"/>
        <w:szCs w:val="20"/>
      </w:rPr>
      <w:t xml:space="preserve">Metodický rámec pre vypracovanie štúdie uskutočniteľnosti                                                               </w:t>
    </w:r>
    <w:r>
      <w:rPr>
        <w:rFonts w:cstheme="minorHAns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2209B">
      <w:rPr>
        <w:rFonts w:cstheme="minorHAnsi"/>
        <w:sz w:val="20"/>
        <w:szCs w:val="20"/>
      </w:rPr>
      <w:t xml:space="preserve">      Príloha č. </w:t>
    </w:r>
    <w:r>
      <w:rPr>
        <w:rFonts w:cstheme="minorHAnsi"/>
        <w:sz w:val="20"/>
        <w:szCs w:val="20"/>
      </w:rPr>
      <w:t>2</w:t>
    </w:r>
  </w:p>
  <w:p w:rsidR="00E4289C" w:rsidRPr="0052209B" w:rsidRDefault="00E4289C" w:rsidP="00E4289C">
    <w:pPr>
      <w:tabs>
        <w:tab w:val="center" w:pos="4536"/>
        <w:tab w:val="right" w:pos="9072"/>
      </w:tabs>
      <w:spacing w:after="0" w:line="240" w:lineRule="auto"/>
      <w:rPr>
        <w:rFonts w:cstheme="minorHAnsi"/>
        <w:sz w:val="16"/>
        <w:szCs w:val="16"/>
      </w:rPr>
    </w:pPr>
    <w:r w:rsidRPr="0052209B">
      <w:rPr>
        <w:rFonts w:cstheme="minorHAnsi"/>
        <w:sz w:val="16"/>
        <w:szCs w:val="16"/>
      </w:rPr>
      <w:t xml:space="preserve">Hodnotenie investícií v sektore DOPRAVY  </w:t>
    </w:r>
  </w:p>
  <w:p w:rsidR="00E4289C" w:rsidRPr="0052209B" w:rsidRDefault="00E4289C" w:rsidP="00E4289C">
    <w:pPr>
      <w:tabs>
        <w:tab w:val="center" w:pos="4536"/>
        <w:tab w:val="right" w:pos="9072"/>
      </w:tabs>
      <w:spacing w:after="0" w:line="240" w:lineRule="auto"/>
      <w:rPr>
        <w:rFonts w:cstheme="minorHAnsi"/>
        <w:sz w:val="16"/>
        <w:szCs w:val="16"/>
      </w:rPr>
    </w:pPr>
    <w:r w:rsidRPr="0052209B">
      <w:rPr>
        <w:rFonts w:cstheme="minorHAnsi"/>
        <w:sz w:val="16"/>
        <w:szCs w:val="16"/>
      </w:rPr>
      <w:t>Verzia 2.0</w:t>
    </w:r>
  </w:p>
  <w:p w:rsidR="00E4289C" w:rsidRDefault="00E4289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8D"/>
    <w:rsid w:val="000335F4"/>
    <w:rsid w:val="0006054E"/>
    <w:rsid w:val="00062F9B"/>
    <w:rsid w:val="00064265"/>
    <w:rsid w:val="000763FB"/>
    <w:rsid w:val="00077295"/>
    <w:rsid w:val="00084D53"/>
    <w:rsid w:val="0009708F"/>
    <w:rsid w:val="0009753E"/>
    <w:rsid w:val="000A1041"/>
    <w:rsid w:val="000B7758"/>
    <w:rsid w:val="000C27AF"/>
    <w:rsid w:val="001155A7"/>
    <w:rsid w:val="00127A45"/>
    <w:rsid w:val="00132A65"/>
    <w:rsid w:val="00141AED"/>
    <w:rsid w:val="00181352"/>
    <w:rsid w:val="00183032"/>
    <w:rsid w:val="001944AF"/>
    <w:rsid w:val="001A6C16"/>
    <w:rsid w:val="001A6DFE"/>
    <w:rsid w:val="001B1EEA"/>
    <w:rsid w:val="001D47E6"/>
    <w:rsid w:val="001D6247"/>
    <w:rsid w:val="001F38B6"/>
    <w:rsid w:val="0022520E"/>
    <w:rsid w:val="00243E6E"/>
    <w:rsid w:val="00254139"/>
    <w:rsid w:val="002541F5"/>
    <w:rsid w:val="002623FA"/>
    <w:rsid w:val="00271D51"/>
    <w:rsid w:val="00272293"/>
    <w:rsid w:val="00283112"/>
    <w:rsid w:val="00283F34"/>
    <w:rsid w:val="002C5B30"/>
    <w:rsid w:val="002D608A"/>
    <w:rsid w:val="002E0B2D"/>
    <w:rsid w:val="002F024B"/>
    <w:rsid w:val="00316742"/>
    <w:rsid w:val="00316A88"/>
    <w:rsid w:val="00322023"/>
    <w:rsid w:val="00327D03"/>
    <w:rsid w:val="00330F61"/>
    <w:rsid w:val="00335629"/>
    <w:rsid w:val="00371A96"/>
    <w:rsid w:val="0038496D"/>
    <w:rsid w:val="00387DA8"/>
    <w:rsid w:val="003B770D"/>
    <w:rsid w:val="003D00DF"/>
    <w:rsid w:val="003D5129"/>
    <w:rsid w:val="003E1FA8"/>
    <w:rsid w:val="003F107C"/>
    <w:rsid w:val="003F4F8B"/>
    <w:rsid w:val="00402C8C"/>
    <w:rsid w:val="00414DC5"/>
    <w:rsid w:val="00425DB5"/>
    <w:rsid w:val="00434D81"/>
    <w:rsid w:val="00455685"/>
    <w:rsid w:val="00483388"/>
    <w:rsid w:val="00483EB4"/>
    <w:rsid w:val="00497F6E"/>
    <w:rsid w:val="004C6D1A"/>
    <w:rsid w:val="00511D4D"/>
    <w:rsid w:val="00517FEB"/>
    <w:rsid w:val="0052209B"/>
    <w:rsid w:val="00526554"/>
    <w:rsid w:val="00534478"/>
    <w:rsid w:val="00537996"/>
    <w:rsid w:val="00543556"/>
    <w:rsid w:val="005614ED"/>
    <w:rsid w:val="00563B8E"/>
    <w:rsid w:val="0056466F"/>
    <w:rsid w:val="00592D17"/>
    <w:rsid w:val="005A3D46"/>
    <w:rsid w:val="005A6500"/>
    <w:rsid w:val="005B39C9"/>
    <w:rsid w:val="005C06D3"/>
    <w:rsid w:val="005C27D9"/>
    <w:rsid w:val="005D549B"/>
    <w:rsid w:val="006074BA"/>
    <w:rsid w:val="00620EB2"/>
    <w:rsid w:val="006251E4"/>
    <w:rsid w:val="00634B03"/>
    <w:rsid w:val="006431FB"/>
    <w:rsid w:val="00644170"/>
    <w:rsid w:val="00647659"/>
    <w:rsid w:val="00653BAD"/>
    <w:rsid w:val="0067146F"/>
    <w:rsid w:val="006901D0"/>
    <w:rsid w:val="00693CB9"/>
    <w:rsid w:val="006A652B"/>
    <w:rsid w:val="006B593A"/>
    <w:rsid w:val="006F20C6"/>
    <w:rsid w:val="006F5644"/>
    <w:rsid w:val="00703977"/>
    <w:rsid w:val="00713B55"/>
    <w:rsid w:val="00742D2D"/>
    <w:rsid w:val="00743EEF"/>
    <w:rsid w:val="00760071"/>
    <w:rsid w:val="00792719"/>
    <w:rsid w:val="007C66FF"/>
    <w:rsid w:val="007C7F38"/>
    <w:rsid w:val="007D5243"/>
    <w:rsid w:val="007E1B81"/>
    <w:rsid w:val="007E5CCE"/>
    <w:rsid w:val="007F4034"/>
    <w:rsid w:val="00807AFE"/>
    <w:rsid w:val="00871817"/>
    <w:rsid w:val="00880984"/>
    <w:rsid w:val="008B4568"/>
    <w:rsid w:val="008B62CC"/>
    <w:rsid w:val="008B6753"/>
    <w:rsid w:val="008C2B1F"/>
    <w:rsid w:val="008D28E0"/>
    <w:rsid w:val="008D3B8C"/>
    <w:rsid w:val="008D7456"/>
    <w:rsid w:val="009002F4"/>
    <w:rsid w:val="009153C0"/>
    <w:rsid w:val="00922344"/>
    <w:rsid w:val="00923AE9"/>
    <w:rsid w:val="00937C86"/>
    <w:rsid w:val="0094100F"/>
    <w:rsid w:val="00951D02"/>
    <w:rsid w:val="00975847"/>
    <w:rsid w:val="009769C1"/>
    <w:rsid w:val="00980BD3"/>
    <w:rsid w:val="00982702"/>
    <w:rsid w:val="009925DA"/>
    <w:rsid w:val="009D05B0"/>
    <w:rsid w:val="009E3D25"/>
    <w:rsid w:val="00A10048"/>
    <w:rsid w:val="00A111AD"/>
    <w:rsid w:val="00A31BD1"/>
    <w:rsid w:val="00A35943"/>
    <w:rsid w:val="00A541FB"/>
    <w:rsid w:val="00A63CFD"/>
    <w:rsid w:val="00A643BC"/>
    <w:rsid w:val="00AA65E6"/>
    <w:rsid w:val="00AA7632"/>
    <w:rsid w:val="00AE7553"/>
    <w:rsid w:val="00B37BF6"/>
    <w:rsid w:val="00B462EA"/>
    <w:rsid w:val="00B71A74"/>
    <w:rsid w:val="00B76264"/>
    <w:rsid w:val="00BA60F3"/>
    <w:rsid w:val="00BB02BC"/>
    <w:rsid w:val="00BB0D0C"/>
    <w:rsid w:val="00BB4C40"/>
    <w:rsid w:val="00BC729A"/>
    <w:rsid w:val="00BE53C6"/>
    <w:rsid w:val="00BE6479"/>
    <w:rsid w:val="00BF0958"/>
    <w:rsid w:val="00C01DBD"/>
    <w:rsid w:val="00C036CB"/>
    <w:rsid w:val="00C06766"/>
    <w:rsid w:val="00C07B91"/>
    <w:rsid w:val="00C24F94"/>
    <w:rsid w:val="00C437E8"/>
    <w:rsid w:val="00C5519D"/>
    <w:rsid w:val="00C56313"/>
    <w:rsid w:val="00C60EDF"/>
    <w:rsid w:val="00C6562E"/>
    <w:rsid w:val="00C667EB"/>
    <w:rsid w:val="00C75208"/>
    <w:rsid w:val="00C76822"/>
    <w:rsid w:val="00C93E1F"/>
    <w:rsid w:val="00C97EE5"/>
    <w:rsid w:val="00CA1922"/>
    <w:rsid w:val="00CA50EF"/>
    <w:rsid w:val="00CA52FC"/>
    <w:rsid w:val="00CC530D"/>
    <w:rsid w:val="00CE7734"/>
    <w:rsid w:val="00CF0FBE"/>
    <w:rsid w:val="00CF7CF8"/>
    <w:rsid w:val="00D16DBE"/>
    <w:rsid w:val="00D218BD"/>
    <w:rsid w:val="00D21B8D"/>
    <w:rsid w:val="00D22A9D"/>
    <w:rsid w:val="00D2520A"/>
    <w:rsid w:val="00D339F0"/>
    <w:rsid w:val="00D36D68"/>
    <w:rsid w:val="00D42FAA"/>
    <w:rsid w:val="00D4345D"/>
    <w:rsid w:val="00D45B78"/>
    <w:rsid w:val="00D45C1A"/>
    <w:rsid w:val="00D7383D"/>
    <w:rsid w:val="00D73ADC"/>
    <w:rsid w:val="00D75D2F"/>
    <w:rsid w:val="00D8362E"/>
    <w:rsid w:val="00D87389"/>
    <w:rsid w:val="00D95092"/>
    <w:rsid w:val="00D95705"/>
    <w:rsid w:val="00DB0C67"/>
    <w:rsid w:val="00DB4F42"/>
    <w:rsid w:val="00DC426E"/>
    <w:rsid w:val="00DD4F1A"/>
    <w:rsid w:val="00DE3C8E"/>
    <w:rsid w:val="00DE5CFF"/>
    <w:rsid w:val="00E0674C"/>
    <w:rsid w:val="00E2481A"/>
    <w:rsid w:val="00E27678"/>
    <w:rsid w:val="00E302D1"/>
    <w:rsid w:val="00E3648B"/>
    <w:rsid w:val="00E40AA1"/>
    <w:rsid w:val="00E4289C"/>
    <w:rsid w:val="00E4295D"/>
    <w:rsid w:val="00E50B31"/>
    <w:rsid w:val="00E551BD"/>
    <w:rsid w:val="00E6160A"/>
    <w:rsid w:val="00E66878"/>
    <w:rsid w:val="00E7206D"/>
    <w:rsid w:val="00E73CC5"/>
    <w:rsid w:val="00E74216"/>
    <w:rsid w:val="00E917B9"/>
    <w:rsid w:val="00E92D49"/>
    <w:rsid w:val="00EB0FC9"/>
    <w:rsid w:val="00EB5E4A"/>
    <w:rsid w:val="00EC1F38"/>
    <w:rsid w:val="00EF348E"/>
    <w:rsid w:val="00F12F54"/>
    <w:rsid w:val="00F3102F"/>
    <w:rsid w:val="00F32827"/>
    <w:rsid w:val="00F37AAF"/>
    <w:rsid w:val="00F41868"/>
    <w:rsid w:val="00F41C49"/>
    <w:rsid w:val="00F61041"/>
    <w:rsid w:val="00F6565B"/>
    <w:rsid w:val="00F84B2F"/>
    <w:rsid w:val="00F925FF"/>
    <w:rsid w:val="00FB0E5A"/>
    <w:rsid w:val="00FC429F"/>
    <w:rsid w:val="00FD4DA6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04D9"/>
  <w15:chartTrackingRefBased/>
  <w15:docId w15:val="{325DFDA9-7994-4161-AE22-344973DD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7B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09B"/>
  </w:style>
  <w:style w:type="paragraph" w:styleId="Pta">
    <w:name w:val="footer"/>
    <w:basedOn w:val="Normlny"/>
    <w:link w:val="PtaChar"/>
    <w:uiPriority w:val="99"/>
    <w:unhideWhenUsed/>
    <w:rsid w:val="0052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7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Molnár, Alexander</dc:creator>
  <cp:keywords/>
  <dc:description/>
  <cp:lastModifiedBy>Molnár, Alexander</cp:lastModifiedBy>
  <cp:revision>229</cp:revision>
  <cp:lastPrinted>2022-01-17T08:41:00Z</cp:lastPrinted>
  <dcterms:created xsi:type="dcterms:W3CDTF">2022-01-10T15:32:00Z</dcterms:created>
  <dcterms:modified xsi:type="dcterms:W3CDTF">2024-01-03T12:55:00Z</dcterms:modified>
</cp:coreProperties>
</file>