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5AEE8" w14:textId="77777777" w:rsidR="00340F9F" w:rsidRPr="004D1ED1" w:rsidRDefault="00340F9F" w:rsidP="00DE1BB0"/>
    <w:p w14:paraId="79084C73" w14:textId="77777777" w:rsidR="00340F9F" w:rsidRPr="004D1ED1" w:rsidRDefault="00340F9F" w:rsidP="00DE1BB0"/>
    <w:p w14:paraId="4AACCB3E" w14:textId="77777777" w:rsidR="00340F9F" w:rsidRPr="004D1ED1" w:rsidRDefault="00340F9F" w:rsidP="00DE1BB0"/>
    <w:p w14:paraId="63CBDB2C" w14:textId="77777777" w:rsidR="00340F9F" w:rsidRPr="004D1ED1" w:rsidRDefault="00340F9F" w:rsidP="00DE1BB0"/>
    <w:p w14:paraId="1627C029" w14:textId="77777777" w:rsidR="00340F9F" w:rsidRPr="004D1ED1" w:rsidRDefault="00340F9F" w:rsidP="00DE1BB0"/>
    <w:p w14:paraId="3E324111" w14:textId="77777777" w:rsidR="00340F9F" w:rsidRPr="004D1ED1" w:rsidRDefault="00340F9F" w:rsidP="00DE1BB0"/>
    <w:p w14:paraId="282457A7" w14:textId="77777777" w:rsidR="00340F9F" w:rsidRPr="004D1ED1" w:rsidRDefault="00340F9F" w:rsidP="00DE1BB0"/>
    <w:p w14:paraId="2953DB22" w14:textId="77777777" w:rsidR="00340F9F" w:rsidRPr="004D1ED1" w:rsidRDefault="00340F9F" w:rsidP="00DE1BB0"/>
    <w:p w14:paraId="46806E39" w14:textId="77777777" w:rsidR="008F493E" w:rsidRPr="008F493E" w:rsidRDefault="00340F9F" w:rsidP="008F493E">
      <w:pPr>
        <w:pStyle w:val="Nzov"/>
        <w:jc w:val="center"/>
        <w:rPr>
          <w:b/>
          <w:bCs/>
        </w:rPr>
      </w:pPr>
      <w:r w:rsidRPr="008F493E">
        <w:rPr>
          <w:b/>
          <w:bCs/>
        </w:rPr>
        <w:t xml:space="preserve">METODIKA </w:t>
      </w:r>
    </w:p>
    <w:p w14:paraId="1BF5A86D" w14:textId="205DB89F" w:rsidR="00340F9F" w:rsidRPr="008F493E" w:rsidRDefault="008F493E" w:rsidP="008F493E">
      <w:pPr>
        <w:pStyle w:val="Nzov"/>
        <w:jc w:val="center"/>
        <w:rPr>
          <w:b/>
          <w:bCs/>
        </w:rPr>
      </w:pPr>
      <w:r w:rsidRPr="008F493E">
        <w:rPr>
          <w:b/>
          <w:bCs/>
        </w:rPr>
        <w:t>NÁKLADOVO-VÝNOSOVEJ ANALÝZY (</w:t>
      </w:r>
      <w:r w:rsidR="00580B15" w:rsidRPr="008F493E">
        <w:rPr>
          <w:b/>
          <w:bCs/>
        </w:rPr>
        <w:t>CBA</w:t>
      </w:r>
      <w:r w:rsidRPr="008F493E">
        <w:rPr>
          <w:b/>
          <w:bCs/>
        </w:rPr>
        <w:t>)</w:t>
      </w:r>
    </w:p>
    <w:p w14:paraId="1207286F" w14:textId="59B7BF90" w:rsidR="00340F9F" w:rsidRPr="008F493E" w:rsidRDefault="00340F9F" w:rsidP="008F493E">
      <w:pPr>
        <w:pStyle w:val="Nzov"/>
        <w:jc w:val="center"/>
        <w:rPr>
          <w:b/>
          <w:bCs/>
        </w:rPr>
      </w:pPr>
      <w:r w:rsidRPr="008F493E">
        <w:rPr>
          <w:b/>
          <w:bCs/>
        </w:rPr>
        <w:t>PROJEKTOV CYKLISTICKEJ INFRAŠTRUKTÚRY</w:t>
      </w:r>
    </w:p>
    <w:p w14:paraId="793CE022" w14:textId="2CA1AF03" w:rsidR="00340F9F" w:rsidRPr="004D1ED1" w:rsidRDefault="00340F9F" w:rsidP="00DE1BB0"/>
    <w:p w14:paraId="534D6391" w14:textId="5AF18A8A" w:rsidR="00340F9F" w:rsidRPr="004D1ED1" w:rsidRDefault="00340F9F" w:rsidP="00DE1BB0">
      <w:r w:rsidRPr="004D1ED1">
        <w:br w:type="page"/>
      </w:r>
    </w:p>
    <w:p w14:paraId="12DE1CEC" w14:textId="77777777" w:rsidR="00CE0F7B" w:rsidRPr="004D1ED1" w:rsidRDefault="00CE0F7B" w:rsidP="00DE1BB0"/>
    <w:p w14:paraId="43E54459" w14:textId="7250246E" w:rsidR="00BC465B" w:rsidRPr="00B86BEF" w:rsidRDefault="00BC465B" w:rsidP="00DE1BB0">
      <w:pPr>
        <w:pStyle w:val="Nadpis1"/>
      </w:pPr>
      <w:r w:rsidRPr="00B86BEF">
        <w:t xml:space="preserve">Úvod  </w:t>
      </w:r>
    </w:p>
    <w:p w14:paraId="3130751E" w14:textId="0C2F9529" w:rsidR="005A51B4" w:rsidRDefault="005A51B4" w:rsidP="005A51B4">
      <w:r>
        <w:rPr>
          <w:highlight w:val="yellow"/>
        </w:rPr>
        <w:t>P</w:t>
      </w:r>
      <w:r w:rsidRPr="00B8023D">
        <w:rPr>
          <w:highlight w:val="yellow"/>
        </w:rPr>
        <w:t>odpora cyklistickej dopravy a budovanie cyklistickej infraštruktúry</w:t>
      </w:r>
      <w:r w:rsidR="00CC3196">
        <w:rPr>
          <w:highlight w:val="yellow"/>
        </w:rPr>
        <w:t xml:space="preserve"> na Slovensku</w:t>
      </w:r>
      <w:r w:rsidRPr="00B8023D">
        <w:rPr>
          <w:highlight w:val="yellow"/>
        </w:rPr>
        <w:t xml:space="preserve"> </w:t>
      </w:r>
      <w:r>
        <w:rPr>
          <w:highlight w:val="yellow"/>
        </w:rPr>
        <w:t xml:space="preserve">je </w:t>
      </w:r>
      <w:r w:rsidRPr="00B8023D">
        <w:rPr>
          <w:highlight w:val="yellow"/>
        </w:rPr>
        <w:t xml:space="preserve">predmetom </w:t>
      </w:r>
      <w:r>
        <w:rPr>
          <w:highlight w:val="yellow"/>
        </w:rPr>
        <w:t>rôznych</w:t>
      </w:r>
      <w:r w:rsidRPr="00B8023D">
        <w:rPr>
          <w:highlight w:val="yellow"/>
        </w:rPr>
        <w:t xml:space="preserve"> schém financovania v rámci rôznych priorít Operačného programu Slovensko 2021-2027, programov cezhraničnej spolupráce a</w:t>
      </w:r>
      <w:r>
        <w:rPr>
          <w:highlight w:val="yellow"/>
        </w:rPr>
        <w:t> </w:t>
      </w:r>
      <w:r w:rsidRPr="00B8023D">
        <w:rPr>
          <w:highlight w:val="yellow"/>
        </w:rPr>
        <w:t>iných</w:t>
      </w:r>
      <w:r>
        <w:rPr>
          <w:highlight w:val="yellow"/>
        </w:rPr>
        <w:t>, vrátane nového Plánu obnovy a</w:t>
      </w:r>
      <w:r w:rsidR="000977D6">
        <w:rPr>
          <w:highlight w:val="yellow"/>
        </w:rPr>
        <w:t> </w:t>
      </w:r>
      <w:r>
        <w:rPr>
          <w:highlight w:val="yellow"/>
        </w:rPr>
        <w:t>odolnosti</w:t>
      </w:r>
      <w:r w:rsidR="000977D6">
        <w:t>.</w:t>
      </w:r>
    </w:p>
    <w:p w14:paraId="6EA40CFB" w14:textId="7D5CA9B3" w:rsidR="00B86BEF" w:rsidRPr="00B86BEF" w:rsidRDefault="00B86BEF" w:rsidP="007B4858">
      <w:pPr>
        <w:pStyle w:val="Nadpis2"/>
      </w:pPr>
      <w:r w:rsidRPr="00B86BEF">
        <w:t>Ciele a princípy metodiky</w:t>
      </w:r>
    </w:p>
    <w:p w14:paraId="17078585" w14:textId="52818218" w:rsidR="000977D6" w:rsidRDefault="000977D6" w:rsidP="000977D6">
      <w:r>
        <w:t xml:space="preserve">V súčasnosti je posudzovanie a schvaľovanie projektov </w:t>
      </w:r>
      <w:r w:rsidR="00121D63">
        <w:t xml:space="preserve">cyklistickej infraštruktúry </w:t>
      </w:r>
      <w:r>
        <w:t xml:space="preserve">založené v princípe len na formálnych, v lepšom prípade technických aspektoch hodnotenia, bez vyčíslenia efektivity </w:t>
      </w:r>
      <w:r w:rsidR="00121D63">
        <w:t xml:space="preserve">a spoločenských prínosov </w:t>
      </w:r>
      <w:r>
        <w:t>danej investície z pohľadu spoločnosti.</w:t>
      </w:r>
    </w:p>
    <w:p w14:paraId="7F0DFC56" w14:textId="5C694FD3" w:rsidR="000977D6" w:rsidRDefault="000977D6" w:rsidP="000977D6">
      <w:r>
        <w:t xml:space="preserve">V textovej časti </w:t>
      </w:r>
      <w:r w:rsidRPr="000977D6">
        <w:t xml:space="preserve">Plánu obnovy a odolnosti </w:t>
      </w:r>
      <w:r>
        <w:t xml:space="preserve">sa explicitne uvádza, že </w:t>
      </w:r>
      <w:r w:rsidRPr="000977D6">
        <w:rPr>
          <w:i/>
          <w:iCs/>
        </w:rPr>
        <w:t>„Podporu výstavby cyklistických trás bude MDV SR realizovať na základe otvorenej priebežnej výzvy na predkladanie žiadostí, kde budú oprávnenými žiadateľmi mestá a obce združené v rámci území  Udržateľného mestského rozvoja (ďalej len „UMR“), pričom pri posudzovaní žiadostí bude vychádzať zo schválenej metodiky posudzovania hodnoty za peniaze pri projektoch budovania cyklistickej infraštruktúry.“</w:t>
      </w:r>
    </w:p>
    <w:p w14:paraId="00B079F5" w14:textId="3638F3A7" w:rsidR="00B86BEF" w:rsidRDefault="00B86BEF" w:rsidP="00DE1BB0">
      <w:r>
        <w:t xml:space="preserve">Cieľom tejto metodiky je </w:t>
      </w:r>
      <w:r w:rsidR="000977D6">
        <w:t xml:space="preserve">preto </w:t>
      </w:r>
      <w:r>
        <w:t xml:space="preserve">definovať ucelený a jednotný postup na hodnotenie efektivity zámerov budovania cyklistickej infraštruktúry v podmienkach Slovenska a ich </w:t>
      </w:r>
      <w:proofErr w:type="spellStart"/>
      <w:r>
        <w:t>priorizácie</w:t>
      </w:r>
      <w:proofErr w:type="spellEnd"/>
      <w:r w:rsidR="00121D63">
        <w:t xml:space="preserve">, primárne pre účely Plánu obnovy a odolnosti, ale v princípe prenositeľné a do iných </w:t>
      </w:r>
      <w:r>
        <w:t>schém financovania z verejných zdrojov.</w:t>
      </w:r>
    </w:p>
    <w:p w14:paraId="35D1C09E" w14:textId="7D437582" w:rsidR="00A51E12" w:rsidRDefault="00B8023D" w:rsidP="00DE1BB0">
      <w:r>
        <w:t>Základom hodnotenia je</w:t>
      </w:r>
      <w:r w:rsidR="00551C70">
        <w:t xml:space="preserve"> –</w:t>
      </w:r>
      <w:r>
        <w:t xml:space="preserve"> podobne ako pri iných projektoch budovania infraštruktúry</w:t>
      </w:r>
      <w:r w:rsidR="00551C70">
        <w:t xml:space="preserve"> –</w:t>
      </w:r>
      <w:r>
        <w:t xml:space="preserve"> tzv. nákladovo výnosová analýza, </w:t>
      </w:r>
      <w:r w:rsidR="00551C70">
        <w:t>(</w:t>
      </w:r>
      <w:r>
        <w:t xml:space="preserve">ďalej referovaná </w:t>
      </w:r>
      <w:r w:rsidR="00551C70">
        <w:t>ako „</w:t>
      </w:r>
      <w:r>
        <w:t>CBA</w:t>
      </w:r>
      <w:r w:rsidR="00551C70">
        <w:t>“</w:t>
      </w:r>
      <w:r>
        <w:t xml:space="preserve"> z anglického </w:t>
      </w:r>
      <w:proofErr w:type="spellStart"/>
      <w:r>
        <w:t>Cost</w:t>
      </w:r>
      <w:proofErr w:type="spellEnd"/>
      <w:r>
        <w:t xml:space="preserve">-Benefit </w:t>
      </w:r>
      <w:proofErr w:type="spellStart"/>
      <w:r>
        <w:t>Analysis</w:t>
      </w:r>
      <w:proofErr w:type="spellEnd"/>
      <w:r>
        <w:t>).</w:t>
      </w:r>
      <w:r w:rsidR="00D11696">
        <w:t xml:space="preserve"> </w:t>
      </w:r>
      <w:r w:rsidR="00580B15" w:rsidRPr="004D1ED1">
        <w:t xml:space="preserve">CBA je analytický nástroj, ktorý sa používa k hodnoteniu investičných projektov s cieľom posúdiť </w:t>
      </w:r>
      <w:r w:rsidR="00D11696">
        <w:t xml:space="preserve">ich </w:t>
      </w:r>
      <w:r w:rsidR="00580B15" w:rsidRPr="004D1ED1">
        <w:t>ekonomickú efektivitu a oprávnenosť poskytnutia verejnej podpory. Cieľom CBA je takto umožniť efektívnejšie prideľovanie zdrojov a zároveň preukázať prínosy daného projektu pre spoločnosť.</w:t>
      </w:r>
    </w:p>
    <w:p w14:paraId="087AD2CA" w14:textId="601E33E2" w:rsidR="00BC465B" w:rsidRPr="004D1ED1" w:rsidRDefault="00BC465B" w:rsidP="005A51B4">
      <w:pPr>
        <w:pStyle w:val="Nadpis2"/>
      </w:pPr>
      <w:r w:rsidRPr="004D1ED1">
        <w:t>Súčasná metodická príručka pre CBA MDV SR</w:t>
      </w:r>
    </w:p>
    <w:p w14:paraId="6AF54AA6" w14:textId="518804D2" w:rsidR="00BC465B" w:rsidRPr="004D1ED1" w:rsidRDefault="00BC465B" w:rsidP="00DE1BB0">
      <w:r w:rsidRPr="004D1ED1">
        <w:t>Súčasťou Metodickej príručky k tvorbe analýz nákladov a prínosov (CBA), Verzia 3.0, máj 2021 spracovanej MDV SR v rámci Operačného programu Integrovaná infraštruktúra 2014-2020 je uvedený zjednodušený modelovaný príklad výpočtu, akú spoločenskú hodnotu má 1 kilometer bicyklovania na úkor rovnakej vzdialenosti precestovanej autom v mestskom prostredí. Inými slovami aký prínos bude mať, ak 1 cestujúci vymení cestu autom za cestu bicyklom v prepočte na 1 kilometer. Pre modelovanú situáciu platia tieto predpoklady:</w:t>
      </w:r>
    </w:p>
    <w:p w14:paraId="5F3DB624" w14:textId="77777777" w:rsidR="00BC465B" w:rsidRPr="004D1ED1" w:rsidRDefault="00BC465B" w:rsidP="00E440CE">
      <w:pPr>
        <w:pStyle w:val="Odsekzoznamu"/>
        <w:numPr>
          <w:ilvl w:val="0"/>
          <w:numId w:val="6"/>
        </w:numPr>
      </w:pPr>
      <w:r w:rsidRPr="004D1ED1">
        <w:t>Ide o cesty do 5 km v mestskom prostredí, kde možno uvažovať, že cesta automobilom a bicyklom sú si časovo rovnocenné. Pre bicykel sa uvažuje priemerná rýchlosť 15 km/h, pre automobil 20 km/h, čo vyplýva najmä z hustej premávky a rôznych rýchlostných obmedzení (križovatky, prechody pre chodcov, obytné zóny atď.). Zároveň sa uvažuje, že vzdialenosť medzi štartom a cieľom je mierne kratšia v prospech bicykla;</w:t>
      </w:r>
    </w:p>
    <w:p w14:paraId="5D817C63" w14:textId="77777777" w:rsidR="00BC465B" w:rsidRPr="004D1ED1" w:rsidRDefault="00BC465B" w:rsidP="00E440CE">
      <w:pPr>
        <w:pStyle w:val="Odsekzoznamu"/>
        <w:numPr>
          <w:ilvl w:val="0"/>
          <w:numId w:val="6"/>
        </w:numPr>
      </w:pPr>
      <w:r w:rsidRPr="004D1ED1">
        <w:t>Bezpečnosť cyklistu je rovnaká ako cestujúceho v automobile, t. j. využije bezpečnú cyklotrasu, ktorá je fyzicky separovaná od cestnej dopravy, je bezbariérová a dopravný tok nie je obmedzený (napr. v prospech cestnej dopravy).</w:t>
      </w:r>
    </w:p>
    <w:p w14:paraId="4B8DBEBA" w14:textId="48A0BD9F" w:rsidR="00BC465B" w:rsidRPr="004D1ED1" w:rsidRDefault="00BC465B" w:rsidP="00DE1BB0">
      <w:r w:rsidRPr="004D1ED1">
        <w:t xml:space="preserve">Pri výpočte spoločenského dopadu boli uvažované dve zložky. Prvou zložkou je prínos v oblasti zdravia spojený so zvýšenou fyzickou aktivitou pri ceste bicyklom. Druhou zložkou sú vynechané (inkrementálne) náklady súvisiace s použitím automobilu. Zdrojom pre vyčíslenie spoločenského prínosu v oblasti zdravia je štúdia pre dánske hlavné mesto Kodaň, v ktorej v roku 2009 (vzhľadom na </w:t>
      </w:r>
      <w:r w:rsidRPr="004D1ED1">
        <w:lastRenderedPageBreak/>
        <w:t>chýbajúcu metodiku) boli ocenené náklady a prínosy spojené s cyklistickou dopravou tak, aby sa dali použiť v CBA. Jednotkové ceny prínosu v oblasti zdravia majú dve zložky, zlepšené zdravie a dlhší život. Hodnoty zo štúdie boli aktualizované v roku 2017, pre účely tejto príručky boli aktualizované pre rok 2021 a upravené o rozdiel v</w:t>
      </w:r>
      <w:r w:rsidR="00597C5A">
        <w:t> </w:t>
      </w:r>
      <w:r w:rsidRPr="004D1ED1">
        <w:t>hodnotách HDP oboch krajín.</w:t>
      </w:r>
    </w:p>
    <w:p w14:paraId="17DABA78" w14:textId="216CE441" w:rsidR="00BC465B" w:rsidRPr="004D1ED1" w:rsidRDefault="00BC465B" w:rsidP="00DE1BB0">
      <w:r w:rsidRPr="004D1ED1">
        <w:t>Vynechané náklady (tie ktoré nevzniknú) boli stanovené v súlade s touto príručkou resp. zdrojmi, z ktorých vychádza. Vzhľadom na vyššie uvedené predpoklady neboli zohľadnené časové náklady a náklady na nehodovosť. Boli však zohľadnené náklady na prevádzku osobného automobilu aj bicykla, emisie znečisťujúcich látok a CO</w:t>
      </w:r>
      <w:r w:rsidRPr="00D11696">
        <w:rPr>
          <w:vertAlign w:val="subscript"/>
        </w:rPr>
        <w:t>2</w:t>
      </w:r>
      <w:r w:rsidRPr="004D1ED1">
        <w:t>, ako aj hluku. Tieto sa pri bicykli uvažovali</w:t>
      </w:r>
      <w:r w:rsidR="00D11696">
        <w:t xml:space="preserve"> ako</w:t>
      </w:r>
      <w:r w:rsidRPr="004D1ED1">
        <w:t xml:space="preserve"> nulové.</w:t>
      </w:r>
    </w:p>
    <w:p w14:paraId="2094E021" w14:textId="77777777" w:rsidR="001C1789" w:rsidRDefault="001C1789" w:rsidP="00DE1BB0">
      <w:r w:rsidRPr="003D64BD">
        <w:t>Predovšetkým v centrálnom mestskom prostredí sú trasy, ktoré je možné uskutočniť zo zdroja do cieľa cesty bicyklom často aj výrazne kratšie, ako trasy automobilom. V</w:t>
      </w:r>
      <w:r>
        <w:t> extrémnych prípadoch je kvôli rôznym obchádzkam a </w:t>
      </w:r>
      <w:proofErr w:type="spellStart"/>
      <w:r>
        <w:t>jednosmerkám</w:t>
      </w:r>
      <w:proofErr w:type="spellEnd"/>
      <w:r>
        <w:t xml:space="preserve"> autom prejsť aj o 50% dlhšie trasy.  </w:t>
      </w:r>
    </w:p>
    <w:p w14:paraId="3D30395A" w14:textId="5F4DAABA" w:rsidR="00BC465B" w:rsidRPr="004D1ED1" w:rsidRDefault="006B2DBD" w:rsidP="00DE1BB0">
      <w:r w:rsidRPr="003D64BD">
        <w:t>Na základe všetkých vyššie uvedených predpokladov, v</w:t>
      </w:r>
      <w:r w:rsidR="00BC465B" w:rsidRPr="003D64BD">
        <w:t>ýsledn</w:t>
      </w:r>
      <w:r w:rsidRPr="003D64BD">
        <w:t>ú</w:t>
      </w:r>
      <w:r w:rsidR="00BC465B" w:rsidRPr="003D64BD">
        <w:t xml:space="preserve"> spoločensk</w:t>
      </w:r>
      <w:r w:rsidRPr="003D64BD">
        <w:t>ú</w:t>
      </w:r>
      <w:r w:rsidR="00BC465B" w:rsidRPr="003D64BD">
        <w:t xml:space="preserve"> hodnot</w:t>
      </w:r>
      <w:r w:rsidRPr="003D64BD">
        <w:t>u</w:t>
      </w:r>
      <w:r w:rsidR="00BC465B" w:rsidRPr="003D64BD">
        <w:t xml:space="preserve"> 1 km prejdeného na bicykli namiesto </w:t>
      </w:r>
      <w:r w:rsidR="001C1789" w:rsidRPr="003D64BD">
        <w:t>(</w:t>
      </w:r>
      <w:r w:rsidR="00BC465B" w:rsidRPr="003D64BD">
        <w:t>1</w:t>
      </w:r>
      <w:r w:rsidR="001C1789" w:rsidRPr="003D64BD">
        <w:t>,5</w:t>
      </w:r>
      <w:r w:rsidR="00BC465B" w:rsidRPr="003D64BD">
        <w:t xml:space="preserve"> km jazdy</w:t>
      </w:r>
      <w:r w:rsidR="001C1789" w:rsidRPr="003D64BD">
        <w:t>)</w:t>
      </w:r>
      <w:r w:rsidR="00BC465B" w:rsidRPr="003D64BD">
        <w:t xml:space="preserve"> autom v</w:t>
      </w:r>
      <w:r w:rsidR="001C1789" w:rsidRPr="003D64BD">
        <w:t> </w:t>
      </w:r>
      <w:r w:rsidR="00BC465B" w:rsidRPr="003D64BD">
        <w:t xml:space="preserve">meste </w:t>
      </w:r>
      <w:r w:rsidRPr="003D64BD">
        <w:t>možno v</w:t>
      </w:r>
      <w:r w:rsidR="00BC465B" w:rsidRPr="003D64BD">
        <w:t xml:space="preserve"> cenovej úrovni roku 2021 </w:t>
      </w:r>
      <w:r w:rsidRPr="003D64BD">
        <w:t>uvažovať nasledovne</w:t>
      </w:r>
      <w:r w:rsidR="00BC465B" w:rsidRPr="003D64BD">
        <w:t>:</w:t>
      </w:r>
    </w:p>
    <w:p w14:paraId="7E150E87" w14:textId="77777777" w:rsidR="00BC465B" w:rsidRPr="004D1ED1" w:rsidRDefault="00BC465B" w:rsidP="00E440CE">
      <w:pPr>
        <w:pStyle w:val="Odsekzoznamu"/>
        <w:numPr>
          <w:ilvl w:val="0"/>
          <w:numId w:val="9"/>
        </w:numPr>
      </w:pPr>
      <w:r w:rsidRPr="004D1ED1">
        <w:t>Prínos v oblasti zdravia 0,667 EUR/km</w:t>
      </w:r>
    </w:p>
    <w:p w14:paraId="08DB5346" w14:textId="77777777" w:rsidR="00BC465B" w:rsidRPr="004D1ED1" w:rsidRDefault="00BC465B" w:rsidP="00E440CE">
      <w:pPr>
        <w:pStyle w:val="Odsekzoznamu"/>
        <w:numPr>
          <w:ilvl w:val="0"/>
          <w:numId w:val="9"/>
        </w:numPr>
      </w:pPr>
      <w:r w:rsidRPr="004D1ED1">
        <w:t>Ušetrené náklady jazdy auta 0,338 EUR/km</w:t>
      </w:r>
    </w:p>
    <w:p w14:paraId="61164C37" w14:textId="77777777" w:rsidR="00BC465B" w:rsidRPr="004D1ED1" w:rsidRDefault="00BC465B" w:rsidP="00E440CE">
      <w:pPr>
        <w:pStyle w:val="Odsekzoznamu"/>
        <w:numPr>
          <w:ilvl w:val="0"/>
          <w:numId w:val="9"/>
        </w:numPr>
      </w:pPr>
      <w:r w:rsidRPr="004D1ED1">
        <w:t>Spolu 1,005 EUR/km</w:t>
      </w:r>
    </w:p>
    <w:p w14:paraId="509EA7C9" w14:textId="1309E283" w:rsidR="00CE0F7B" w:rsidRPr="004D1ED1" w:rsidRDefault="00597C5A" w:rsidP="00DE1BB0">
      <w:r>
        <w:t>Tieto predpoklady však</w:t>
      </w:r>
      <w:r w:rsidR="006B2DBD">
        <w:t xml:space="preserve"> pravdaže</w:t>
      </w:r>
      <w:r>
        <w:t xml:space="preserve"> </w:t>
      </w:r>
      <w:r w:rsidR="006B2DBD">
        <w:t xml:space="preserve">platia </w:t>
      </w:r>
      <w:r>
        <w:t xml:space="preserve">len pre úzko definovanú modelovú situáciu, zovšeobecnenie pre praktické využitie je </w:t>
      </w:r>
      <w:r w:rsidR="006B2DBD">
        <w:t xml:space="preserve">preto </w:t>
      </w:r>
      <w:r>
        <w:t xml:space="preserve">predmetom kapitoly </w:t>
      </w:r>
      <w:r w:rsidR="003D64BD">
        <w:t>3</w:t>
      </w:r>
      <w:r>
        <w:t xml:space="preserve"> tejto metodiky</w:t>
      </w:r>
      <w:r w:rsidR="001C1789">
        <w:t>.</w:t>
      </w:r>
    </w:p>
    <w:p w14:paraId="7A755315" w14:textId="3BC742E9" w:rsidR="00BC465B" w:rsidRPr="004D1ED1" w:rsidRDefault="00BC465B" w:rsidP="005A51B4">
      <w:pPr>
        <w:pStyle w:val="Nadpis2"/>
      </w:pPr>
      <w:r w:rsidRPr="004D1ED1">
        <w:t xml:space="preserve">Príklady zo zahraničia </w:t>
      </w:r>
    </w:p>
    <w:p w14:paraId="02015381" w14:textId="77777777" w:rsidR="00BC465B" w:rsidRPr="004D1ED1" w:rsidRDefault="00BC465B" w:rsidP="00DE1BB0">
      <w:r w:rsidRPr="004D1ED1">
        <w:t>Dánsko, štúdia COWI, 2009</w:t>
      </w:r>
    </w:p>
    <w:p w14:paraId="07ED2D8B" w14:textId="77777777" w:rsidR="00BC465B" w:rsidRPr="004D1ED1" w:rsidRDefault="00BC465B" w:rsidP="00DE1BB0">
      <w:r w:rsidRPr="004D1ED1">
        <w:t>Účelom projektu bolo vytvorenie počiatočného metodického základu pre analýzu ekonomických nákladov a prínosov opatrení pre podporu cyklistickej dopravy vo forme jednotkových cien.</w:t>
      </w:r>
    </w:p>
    <w:p w14:paraId="30F8F162" w14:textId="77777777" w:rsidR="00BC465B" w:rsidRPr="004D1ED1" w:rsidRDefault="00BC465B" w:rsidP="00DE1BB0">
      <w:r w:rsidRPr="004D1ED1">
        <w:t xml:space="preserve">DKK, ceny rok 2008, 1 euro = 7,44 DKK, </w:t>
      </w:r>
    </w:p>
    <w:tbl>
      <w:tblPr>
        <w:tblStyle w:val="Mriekatabuky"/>
        <w:tblW w:w="907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245"/>
        <w:gridCol w:w="975"/>
        <w:gridCol w:w="975"/>
        <w:gridCol w:w="975"/>
        <w:gridCol w:w="976"/>
        <w:gridCol w:w="975"/>
        <w:gridCol w:w="975"/>
        <w:gridCol w:w="976"/>
      </w:tblGrid>
      <w:tr w:rsidR="00BC465B" w:rsidRPr="004D1ED1" w14:paraId="0F226852" w14:textId="77777777" w:rsidTr="00614611">
        <w:tc>
          <w:tcPr>
            <w:tcW w:w="2245" w:type="dxa"/>
            <w:vMerge w:val="restart"/>
            <w:tcBorders>
              <w:top w:val="single" w:sz="18" w:space="0" w:color="auto"/>
              <w:bottom w:val="single" w:sz="6" w:space="0" w:color="auto"/>
              <w:right w:val="single" w:sz="6" w:space="0" w:color="auto"/>
            </w:tcBorders>
          </w:tcPr>
          <w:p w14:paraId="59511CCD" w14:textId="77777777" w:rsidR="00BC465B" w:rsidRPr="004D1ED1" w:rsidRDefault="00BC465B" w:rsidP="00DE1BB0"/>
        </w:tc>
        <w:tc>
          <w:tcPr>
            <w:tcW w:w="2925" w:type="dxa"/>
            <w:gridSpan w:val="3"/>
            <w:tcBorders>
              <w:top w:val="single" w:sz="18" w:space="0" w:color="auto"/>
              <w:left w:val="single" w:sz="6" w:space="0" w:color="auto"/>
              <w:bottom w:val="single" w:sz="6" w:space="0" w:color="auto"/>
              <w:right w:val="single" w:sz="18" w:space="0" w:color="auto"/>
            </w:tcBorders>
          </w:tcPr>
          <w:p w14:paraId="17CAB7C2" w14:textId="77777777" w:rsidR="00BC465B" w:rsidRPr="004D1ED1" w:rsidRDefault="00BC465B" w:rsidP="00DE1BB0">
            <w:r w:rsidRPr="004D1ED1">
              <w:t>Bicyklovanie (16 km/h)</w:t>
            </w:r>
          </w:p>
        </w:tc>
        <w:tc>
          <w:tcPr>
            <w:tcW w:w="3902" w:type="dxa"/>
            <w:gridSpan w:val="4"/>
            <w:tcBorders>
              <w:top w:val="single" w:sz="18" w:space="0" w:color="auto"/>
              <w:left w:val="single" w:sz="18" w:space="0" w:color="auto"/>
              <w:bottom w:val="single" w:sz="4" w:space="0" w:color="auto"/>
            </w:tcBorders>
          </w:tcPr>
          <w:p w14:paraId="56F85003" w14:textId="77777777" w:rsidR="00BC465B" w:rsidRPr="004D1ED1" w:rsidRDefault="00BC465B" w:rsidP="00DE1BB0">
            <w:r w:rsidRPr="004D1ED1">
              <w:t xml:space="preserve">Pre porovnanie: auto (50 km/h) </w:t>
            </w:r>
          </w:p>
        </w:tc>
      </w:tr>
      <w:tr w:rsidR="00BC465B" w:rsidRPr="004D1ED1" w14:paraId="724E6D25" w14:textId="77777777" w:rsidTr="00614611">
        <w:tc>
          <w:tcPr>
            <w:tcW w:w="2245" w:type="dxa"/>
            <w:vMerge/>
            <w:tcBorders>
              <w:top w:val="single" w:sz="6" w:space="0" w:color="auto"/>
              <w:bottom w:val="single" w:sz="18" w:space="0" w:color="auto"/>
              <w:right w:val="single" w:sz="6" w:space="0" w:color="auto"/>
            </w:tcBorders>
          </w:tcPr>
          <w:p w14:paraId="3608D47A" w14:textId="77777777" w:rsidR="00BC465B" w:rsidRPr="004D1ED1" w:rsidRDefault="00BC465B" w:rsidP="00DE1BB0"/>
        </w:tc>
        <w:tc>
          <w:tcPr>
            <w:tcW w:w="975" w:type="dxa"/>
            <w:tcBorders>
              <w:top w:val="single" w:sz="6" w:space="0" w:color="auto"/>
              <w:left w:val="single" w:sz="6" w:space="0" w:color="auto"/>
              <w:bottom w:val="single" w:sz="18" w:space="0" w:color="auto"/>
              <w:right w:val="single" w:sz="6" w:space="0" w:color="auto"/>
            </w:tcBorders>
          </w:tcPr>
          <w:p w14:paraId="0BCC1920" w14:textId="622FCEF2" w:rsidR="00BC465B" w:rsidRPr="004D1ED1" w:rsidRDefault="004214C1" w:rsidP="00DE1BB0">
            <w:r>
              <w:t>interné</w:t>
            </w:r>
          </w:p>
        </w:tc>
        <w:tc>
          <w:tcPr>
            <w:tcW w:w="975" w:type="dxa"/>
            <w:tcBorders>
              <w:top w:val="single" w:sz="6" w:space="0" w:color="auto"/>
              <w:left w:val="single" w:sz="6" w:space="0" w:color="auto"/>
              <w:bottom w:val="single" w:sz="18" w:space="0" w:color="auto"/>
              <w:right w:val="single" w:sz="6" w:space="0" w:color="auto"/>
            </w:tcBorders>
          </w:tcPr>
          <w:p w14:paraId="2FEC9B12" w14:textId="77777777" w:rsidR="00BC465B" w:rsidRPr="004D1ED1" w:rsidRDefault="00BC465B" w:rsidP="00DE1BB0">
            <w:r w:rsidRPr="004D1ED1">
              <w:t>externé</w:t>
            </w:r>
          </w:p>
        </w:tc>
        <w:tc>
          <w:tcPr>
            <w:tcW w:w="975" w:type="dxa"/>
            <w:tcBorders>
              <w:top w:val="single" w:sz="6" w:space="0" w:color="auto"/>
              <w:left w:val="single" w:sz="6" w:space="0" w:color="auto"/>
              <w:bottom w:val="single" w:sz="18" w:space="0" w:color="auto"/>
              <w:right w:val="single" w:sz="18" w:space="0" w:color="auto"/>
            </w:tcBorders>
          </w:tcPr>
          <w:p w14:paraId="2305CF18" w14:textId="77777777" w:rsidR="00BC465B" w:rsidRPr="004D1ED1" w:rsidRDefault="00BC465B" w:rsidP="00DE1BB0">
            <w:r w:rsidRPr="004D1ED1">
              <w:t>celkové</w:t>
            </w:r>
          </w:p>
        </w:tc>
        <w:tc>
          <w:tcPr>
            <w:tcW w:w="976" w:type="dxa"/>
            <w:tcBorders>
              <w:top w:val="single" w:sz="4" w:space="0" w:color="auto"/>
              <w:left w:val="single" w:sz="18" w:space="0" w:color="auto"/>
              <w:bottom w:val="single" w:sz="18" w:space="0" w:color="auto"/>
              <w:right w:val="single" w:sz="4" w:space="0" w:color="auto"/>
            </w:tcBorders>
          </w:tcPr>
          <w:p w14:paraId="30E67F1F" w14:textId="334DB716" w:rsidR="00BC465B" w:rsidRPr="004D1ED1" w:rsidRDefault="004214C1" w:rsidP="00DE1BB0">
            <w:r>
              <w:t>interné</w:t>
            </w:r>
          </w:p>
        </w:tc>
        <w:tc>
          <w:tcPr>
            <w:tcW w:w="975" w:type="dxa"/>
            <w:tcBorders>
              <w:top w:val="single" w:sz="4" w:space="0" w:color="auto"/>
              <w:left w:val="single" w:sz="4" w:space="0" w:color="auto"/>
              <w:bottom w:val="single" w:sz="18" w:space="0" w:color="auto"/>
              <w:right w:val="single" w:sz="4" w:space="0" w:color="auto"/>
            </w:tcBorders>
          </w:tcPr>
          <w:p w14:paraId="15A792F8" w14:textId="77777777" w:rsidR="00BC465B" w:rsidRPr="004D1ED1" w:rsidRDefault="00BC465B" w:rsidP="00DE1BB0">
            <w:r w:rsidRPr="004D1ED1">
              <w:t>externé</w:t>
            </w:r>
          </w:p>
        </w:tc>
        <w:tc>
          <w:tcPr>
            <w:tcW w:w="975" w:type="dxa"/>
            <w:tcBorders>
              <w:top w:val="single" w:sz="4" w:space="0" w:color="auto"/>
              <w:left w:val="single" w:sz="4" w:space="0" w:color="auto"/>
              <w:bottom w:val="single" w:sz="18" w:space="0" w:color="auto"/>
              <w:right w:val="single" w:sz="4" w:space="0" w:color="auto"/>
            </w:tcBorders>
          </w:tcPr>
          <w:p w14:paraId="58BDEB3D" w14:textId="77777777" w:rsidR="00BC465B" w:rsidRPr="004D1ED1" w:rsidRDefault="00BC465B" w:rsidP="00DE1BB0">
            <w:r w:rsidRPr="004D1ED1">
              <w:t xml:space="preserve">Dane </w:t>
            </w:r>
          </w:p>
        </w:tc>
        <w:tc>
          <w:tcPr>
            <w:tcW w:w="976" w:type="dxa"/>
            <w:tcBorders>
              <w:top w:val="single" w:sz="4" w:space="0" w:color="auto"/>
              <w:left w:val="single" w:sz="4" w:space="0" w:color="auto"/>
              <w:bottom w:val="single" w:sz="18" w:space="0" w:color="auto"/>
            </w:tcBorders>
          </w:tcPr>
          <w:p w14:paraId="08F67761" w14:textId="77777777" w:rsidR="00BC465B" w:rsidRPr="004D1ED1" w:rsidRDefault="00BC465B" w:rsidP="00DE1BB0">
            <w:r w:rsidRPr="004D1ED1">
              <w:t>celkové</w:t>
            </w:r>
          </w:p>
        </w:tc>
      </w:tr>
      <w:tr w:rsidR="00BC465B" w:rsidRPr="004D1ED1" w14:paraId="4DA07EEC" w14:textId="77777777" w:rsidTr="00614611">
        <w:tc>
          <w:tcPr>
            <w:tcW w:w="2245" w:type="dxa"/>
            <w:tcBorders>
              <w:top w:val="single" w:sz="18" w:space="0" w:color="auto"/>
              <w:bottom w:val="single" w:sz="6" w:space="0" w:color="auto"/>
            </w:tcBorders>
          </w:tcPr>
          <w:p w14:paraId="45BE2B63" w14:textId="77777777" w:rsidR="00BC465B" w:rsidRPr="004D1ED1" w:rsidRDefault="00BC465B" w:rsidP="00614611">
            <w:pPr>
              <w:spacing w:before="60"/>
            </w:pPr>
            <w:r w:rsidRPr="004D1ED1">
              <w:t>Časové náklady</w:t>
            </w:r>
          </w:p>
        </w:tc>
        <w:tc>
          <w:tcPr>
            <w:tcW w:w="975" w:type="dxa"/>
            <w:tcBorders>
              <w:top w:val="single" w:sz="18" w:space="0" w:color="auto"/>
              <w:bottom w:val="single" w:sz="6" w:space="0" w:color="auto"/>
            </w:tcBorders>
          </w:tcPr>
          <w:p w14:paraId="2B93540D" w14:textId="77777777" w:rsidR="00BC465B" w:rsidRPr="004D1ED1" w:rsidRDefault="00BC465B" w:rsidP="00614611">
            <w:pPr>
              <w:spacing w:before="60"/>
              <w:jc w:val="right"/>
            </w:pPr>
            <w:r w:rsidRPr="004D1ED1">
              <w:t>5,00</w:t>
            </w:r>
          </w:p>
        </w:tc>
        <w:tc>
          <w:tcPr>
            <w:tcW w:w="975" w:type="dxa"/>
            <w:tcBorders>
              <w:top w:val="single" w:sz="18" w:space="0" w:color="auto"/>
              <w:bottom w:val="single" w:sz="6" w:space="0" w:color="auto"/>
            </w:tcBorders>
          </w:tcPr>
          <w:p w14:paraId="4E0C3D74" w14:textId="77777777" w:rsidR="00BC465B" w:rsidRPr="004D1ED1" w:rsidRDefault="00BC465B" w:rsidP="00614611">
            <w:pPr>
              <w:spacing w:before="60"/>
              <w:jc w:val="right"/>
            </w:pPr>
            <w:r w:rsidRPr="004D1ED1">
              <w:t>0</w:t>
            </w:r>
          </w:p>
        </w:tc>
        <w:tc>
          <w:tcPr>
            <w:tcW w:w="975" w:type="dxa"/>
            <w:tcBorders>
              <w:top w:val="single" w:sz="18" w:space="0" w:color="auto"/>
              <w:bottom w:val="single" w:sz="6" w:space="0" w:color="auto"/>
              <w:right w:val="single" w:sz="18" w:space="0" w:color="auto"/>
            </w:tcBorders>
          </w:tcPr>
          <w:p w14:paraId="469E76F6" w14:textId="77777777" w:rsidR="00BC465B" w:rsidRPr="004D1ED1" w:rsidRDefault="00BC465B" w:rsidP="00614611">
            <w:pPr>
              <w:spacing w:before="60"/>
              <w:jc w:val="right"/>
            </w:pPr>
            <w:r w:rsidRPr="004D1ED1">
              <w:t>5,00</w:t>
            </w:r>
          </w:p>
        </w:tc>
        <w:tc>
          <w:tcPr>
            <w:tcW w:w="976" w:type="dxa"/>
            <w:tcBorders>
              <w:top w:val="single" w:sz="18" w:space="0" w:color="auto"/>
              <w:left w:val="single" w:sz="18" w:space="0" w:color="auto"/>
            </w:tcBorders>
          </w:tcPr>
          <w:p w14:paraId="4846A3D1" w14:textId="77777777" w:rsidR="00BC465B" w:rsidRPr="004D1ED1" w:rsidRDefault="00BC465B" w:rsidP="00614611">
            <w:pPr>
              <w:spacing w:before="60"/>
              <w:jc w:val="right"/>
            </w:pPr>
            <w:r w:rsidRPr="004D1ED1">
              <w:t>1,60</w:t>
            </w:r>
          </w:p>
        </w:tc>
        <w:tc>
          <w:tcPr>
            <w:tcW w:w="975" w:type="dxa"/>
            <w:tcBorders>
              <w:top w:val="single" w:sz="18" w:space="0" w:color="auto"/>
            </w:tcBorders>
          </w:tcPr>
          <w:p w14:paraId="59076AB5" w14:textId="77777777" w:rsidR="00BC465B" w:rsidRPr="004D1ED1" w:rsidRDefault="00BC465B" w:rsidP="00614611">
            <w:pPr>
              <w:spacing w:before="60"/>
              <w:jc w:val="right"/>
            </w:pPr>
            <w:r w:rsidRPr="004D1ED1">
              <w:t>0</w:t>
            </w:r>
          </w:p>
        </w:tc>
        <w:tc>
          <w:tcPr>
            <w:tcW w:w="975" w:type="dxa"/>
            <w:tcBorders>
              <w:top w:val="single" w:sz="18" w:space="0" w:color="auto"/>
            </w:tcBorders>
          </w:tcPr>
          <w:p w14:paraId="0C957D2B" w14:textId="77777777" w:rsidR="00BC465B" w:rsidRPr="004D1ED1" w:rsidRDefault="00BC465B" w:rsidP="00614611">
            <w:pPr>
              <w:spacing w:before="60"/>
              <w:jc w:val="right"/>
            </w:pPr>
            <w:r w:rsidRPr="004D1ED1">
              <w:t>0</w:t>
            </w:r>
          </w:p>
        </w:tc>
        <w:tc>
          <w:tcPr>
            <w:tcW w:w="976" w:type="dxa"/>
            <w:tcBorders>
              <w:top w:val="single" w:sz="18" w:space="0" w:color="auto"/>
            </w:tcBorders>
          </w:tcPr>
          <w:p w14:paraId="5DEFA52C" w14:textId="77777777" w:rsidR="00BC465B" w:rsidRPr="004D1ED1" w:rsidRDefault="00BC465B" w:rsidP="00614611">
            <w:pPr>
              <w:spacing w:before="60"/>
              <w:jc w:val="right"/>
            </w:pPr>
            <w:r w:rsidRPr="004D1ED1">
              <w:t>1,60</w:t>
            </w:r>
          </w:p>
        </w:tc>
      </w:tr>
      <w:tr w:rsidR="00BC465B" w:rsidRPr="004D1ED1" w14:paraId="2F6563FC" w14:textId="77777777" w:rsidTr="00614611">
        <w:tc>
          <w:tcPr>
            <w:tcW w:w="2245" w:type="dxa"/>
            <w:tcBorders>
              <w:top w:val="single" w:sz="6" w:space="0" w:color="auto"/>
              <w:bottom w:val="single" w:sz="6" w:space="0" w:color="auto"/>
            </w:tcBorders>
          </w:tcPr>
          <w:p w14:paraId="2131F9D4" w14:textId="77777777" w:rsidR="00BC465B" w:rsidRPr="004D1ED1" w:rsidRDefault="00BC465B" w:rsidP="00614611">
            <w:pPr>
              <w:spacing w:before="60"/>
            </w:pPr>
            <w:r w:rsidRPr="004D1ED1">
              <w:t>Prevádzkované náklady vozidla</w:t>
            </w:r>
          </w:p>
        </w:tc>
        <w:tc>
          <w:tcPr>
            <w:tcW w:w="975" w:type="dxa"/>
            <w:tcBorders>
              <w:top w:val="single" w:sz="6" w:space="0" w:color="auto"/>
              <w:bottom w:val="single" w:sz="6" w:space="0" w:color="auto"/>
            </w:tcBorders>
          </w:tcPr>
          <w:p w14:paraId="154A088B" w14:textId="77777777" w:rsidR="00BC465B" w:rsidRPr="004D1ED1" w:rsidRDefault="00BC465B" w:rsidP="00614611">
            <w:pPr>
              <w:spacing w:before="60"/>
              <w:jc w:val="right"/>
            </w:pPr>
            <w:r w:rsidRPr="004D1ED1">
              <w:t>0,33</w:t>
            </w:r>
          </w:p>
        </w:tc>
        <w:tc>
          <w:tcPr>
            <w:tcW w:w="975" w:type="dxa"/>
            <w:tcBorders>
              <w:top w:val="single" w:sz="6" w:space="0" w:color="auto"/>
              <w:bottom w:val="single" w:sz="6" w:space="0" w:color="auto"/>
            </w:tcBorders>
          </w:tcPr>
          <w:p w14:paraId="54367DC2" w14:textId="77777777" w:rsidR="00BC465B" w:rsidRPr="004D1ED1" w:rsidRDefault="00BC465B" w:rsidP="00614611">
            <w:pPr>
              <w:spacing w:before="60"/>
              <w:jc w:val="right"/>
            </w:pPr>
            <w:r w:rsidRPr="004D1ED1">
              <w:t>0</w:t>
            </w:r>
          </w:p>
        </w:tc>
        <w:tc>
          <w:tcPr>
            <w:tcW w:w="975" w:type="dxa"/>
            <w:tcBorders>
              <w:top w:val="single" w:sz="6" w:space="0" w:color="auto"/>
              <w:bottom w:val="single" w:sz="6" w:space="0" w:color="auto"/>
              <w:right w:val="single" w:sz="18" w:space="0" w:color="auto"/>
            </w:tcBorders>
          </w:tcPr>
          <w:p w14:paraId="49835D55" w14:textId="77777777" w:rsidR="00BC465B" w:rsidRPr="004D1ED1" w:rsidRDefault="00BC465B" w:rsidP="00614611">
            <w:pPr>
              <w:spacing w:before="60"/>
              <w:jc w:val="right"/>
            </w:pPr>
            <w:r w:rsidRPr="004D1ED1">
              <w:t>0,33</w:t>
            </w:r>
          </w:p>
        </w:tc>
        <w:tc>
          <w:tcPr>
            <w:tcW w:w="976" w:type="dxa"/>
            <w:tcBorders>
              <w:left w:val="single" w:sz="18" w:space="0" w:color="auto"/>
            </w:tcBorders>
          </w:tcPr>
          <w:p w14:paraId="4FA06842" w14:textId="77777777" w:rsidR="00BC465B" w:rsidRPr="004D1ED1" w:rsidRDefault="00BC465B" w:rsidP="00614611">
            <w:pPr>
              <w:spacing w:before="60"/>
              <w:jc w:val="right"/>
            </w:pPr>
            <w:r w:rsidRPr="004D1ED1">
              <w:t>2,20</w:t>
            </w:r>
          </w:p>
        </w:tc>
        <w:tc>
          <w:tcPr>
            <w:tcW w:w="975" w:type="dxa"/>
          </w:tcPr>
          <w:p w14:paraId="57CC98C5" w14:textId="77777777" w:rsidR="00BC465B" w:rsidRPr="004D1ED1" w:rsidRDefault="00BC465B" w:rsidP="00614611">
            <w:pPr>
              <w:spacing w:before="60"/>
              <w:jc w:val="right"/>
            </w:pPr>
            <w:r w:rsidRPr="004D1ED1">
              <w:t>0</w:t>
            </w:r>
          </w:p>
        </w:tc>
        <w:tc>
          <w:tcPr>
            <w:tcW w:w="975" w:type="dxa"/>
          </w:tcPr>
          <w:p w14:paraId="5F0DB3E0" w14:textId="77777777" w:rsidR="00BC465B" w:rsidRPr="004D1ED1" w:rsidRDefault="00BC465B" w:rsidP="00614611">
            <w:pPr>
              <w:spacing w:before="60"/>
              <w:jc w:val="right"/>
            </w:pPr>
            <w:r w:rsidRPr="004D1ED1">
              <w:t>-1,18</w:t>
            </w:r>
          </w:p>
        </w:tc>
        <w:tc>
          <w:tcPr>
            <w:tcW w:w="976" w:type="dxa"/>
          </w:tcPr>
          <w:p w14:paraId="2BBA9150" w14:textId="77777777" w:rsidR="00BC465B" w:rsidRPr="004D1ED1" w:rsidRDefault="00BC465B" w:rsidP="00614611">
            <w:pPr>
              <w:spacing w:before="60"/>
              <w:jc w:val="right"/>
            </w:pPr>
            <w:r w:rsidRPr="004D1ED1">
              <w:t>1.02</w:t>
            </w:r>
          </w:p>
        </w:tc>
      </w:tr>
      <w:tr w:rsidR="00BC465B" w:rsidRPr="004D1ED1" w14:paraId="746BA1F1" w14:textId="77777777" w:rsidTr="00614611">
        <w:tc>
          <w:tcPr>
            <w:tcW w:w="2245" w:type="dxa"/>
            <w:tcBorders>
              <w:top w:val="single" w:sz="6" w:space="0" w:color="auto"/>
              <w:bottom w:val="single" w:sz="4" w:space="0" w:color="auto"/>
            </w:tcBorders>
          </w:tcPr>
          <w:p w14:paraId="5FB97DAE" w14:textId="77777777" w:rsidR="00BC465B" w:rsidRPr="004D1ED1" w:rsidRDefault="00BC465B" w:rsidP="00614611">
            <w:pPr>
              <w:spacing w:before="60"/>
            </w:pPr>
            <w:r w:rsidRPr="004D1ED1">
              <w:t>Predlžená dĺžka života</w:t>
            </w:r>
          </w:p>
        </w:tc>
        <w:tc>
          <w:tcPr>
            <w:tcW w:w="975" w:type="dxa"/>
            <w:tcBorders>
              <w:top w:val="single" w:sz="6" w:space="0" w:color="auto"/>
              <w:bottom w:val="single" w:sz="4" w:space="0" w:color="auto"/>
            </w:tcBorders>
          </w:tcPr>
          <w:p w14:paraId="6A1772D2" w14:textId="77777777" w:rsidR="00BC465B" w:rsidRPr="004D1ED1" w:rsidRDefault="00BC465B" w:rsidP="00614611">
            <w:pPr>
              <w:spacing w:before="60"/>
              <w:jc w:val="right"/>
            </w:pPr>
            <w:r w:rsidRPr="004D1ED1">
              <w:t>-2,66</w:t>
            </w:r>
          </w:p>
        </w:tc>
        <w:tc>
          <w:tcPr>
            <w:tcW w:w="975" w:type="dxa"/>
            <w:tcBorders>
              <w:top w:val="single" w:sz="6" w:space="0" w:color="auto"/>
              <w:bottom w:val="single" w:sz="4" w:space="0" w:color="auto"/>
            </w:tcBorders>
          </w:tcPr>
          <w:p w14:paraId="209CD0BC" w14:textId="77777777" w:rsidR="00BC465B" w:rsidRPr="004D1ED1" w:rsidRDefault="00BC465B" w:rsidP="00614611">
            <w:pPr>
              <w:spacing w:before="60"/>
              <w:jc w:val="right"/>
            </w:pPr>
            <w:r w:rsidRPr="004D1ED1">
              <w:t>0,06</w:t>
            </w:r>
          </w:p>
        </w:tc>
        <w:tc>
          <w:tcPr>
            <w:tcW w:w="975" w:type="dxa"/>
            <w:tcBorders>
              <w:top w:val="single" w:sz="6" w:space="0" w:color="auto"/>
              <w:bottom w:val="single" w:sz="4" w:space="0" w:color="auto"/>
              <w:right w:val="single" w:sz="18" w:space="0" w:color="auto"/>
            </w:tcBorders>
          </w:tcPr>
          <w:p w14:paraId="3B008C19" w14:textId="77777777" w:rsidR="00BC465B" w:rsidRPr="004D1ED1" w:rsidRDefault="00BC465B" w:rsidP="00614611">
            <w:pPr>
              <w:spacing w:before="60"/>
              <w:jc w:val="right"/>
            </w:pPr>
            <w:r w:rsidRPr="004D1ED1">
              <w:t>-2,59</w:t>
            </w:r>
          </w:p>
        </w:tc>
        <w:tc>
          <w:tcPr>
            <w:tcW w:w="976" w:type="dxa"/>
            <w:tcBorders>
              <w:left w:val="single" w:sz="18" w:space="0" w:color="auto"/>
            </w:tcBorders>
          </w:tcPr>
          <w:p w14:paraId="1F0B5FB8" w14:textId="77777777" w:rsidR="00BC465B" w:rsidRPr="004D1ED1" w:rsidRDefault="00BC465B" w:rsidP="00614611">
            <w:pPr>
              <w:spacing w:before="60"/>
              <w:jc w:val="right"/>
            </w:pPr>
            <w:r w:rsidRPr="004D1ED1">
              <w:t>0</w:t>
            </w:r>
          </w:p>
        </w:tc>
        <w:tc>
          <w:tcPr>
            <w:tcW w:w="975" w:type="dxa"/>
          </w:tcPr>
          <w:p w14:paraId="1263D802" w14:textId="77777777" w:rsidR="00BC465B" w:rsidRPr="004D1ED1" w:rsidRDefault="00BC465B" w:rsidP="00614611">
            <w:pPr>
              <w:spacing w:before="60"/>
              <w:jc w:val="right"/>
            </w:pPr>
            <w:r w:rsidRPr="004D1ED1">
              <w:t>0</w:t>
            </w:r>
          </w:p>
        </w:tc>
        <w:tc>
          <w:tcPr>
            <w:tcW w:w="975" w:type="dxa"/>
          </w:tcPr>
          <w:p w14:paraId="1B62871E" w14:textId="77777777" w:rsidR="00BC465B" w:rsidRPr="004D1ED1" w:rsidRDefault="00BC465B" w:rsidP="00614611">
            <w:pPr>
              <w:spacing w:before="60"/>
              <w:jc w:val="right"/>
            </w:pPr>
            <w:r w:rsidRPr="004D1ED1">
              <w:t>0</w:t>
            </w:r>
          </w:p>
        </w:tc>
        <w:tc>
          <w:tcPr>
            <w:tcW w:w="976" w:type="dxa"/>
          </w:tcPr>
          <w:p w14:paraId="2DE63AD4" w14:textId="77777777" w:rsidR="00BC465B" w:rsidRPr="004D1ED1" w:rsidRDefault="00BC465B" w:rsidP="00614611">
            <w:pPr>
              <w:spacing w:before="60"/>
              <w:jc w:val="right"/>
            </w:pPr>
            <w:r w:rsidRPr="004D1ED1">
              <w:t>0</w:t>
            </w:r>
          </w:p>
        </w:tc>
      </w:tr>
      <w:tr w:rsidR="00BC465B" w:rsidRPr="004D1ED1" w14:paraId="639271ED" w14:textId="77777777" w:rsidTr="00614611">
        <w:tc>
          <w:tcPr>
            <w:tcW w:w="2245" w:type="dxa"/>
            <w:tcBorders>
              <w:top w:val="single" w:sz="4" w:space="0" w:color="auto"/>
              <w:bottom w:val="single" w:sz="6" w:space="0" w:color="auto"/>
            </w:tcBorders>
          </w:tcPr>
          <w:p w14:paraId="60308CF7" w14:textId="77777777" w:rsidR="00BC465B" w:rsidRPr="004D1ED1" w:rsidRDefault="00BC465B" w:rsidP="00614611">
            <w:pPr>
              <w:spacing w:before="60"/>
            </w:pPr>
            <w:r w:rsidRPr="004D1ED1">
              <w:t>Zdravie</w:t>
            </w:r>
          </w:p>
        </w:tc>
        <w:tc>
          <w:tcPr>
            <w:tcW w:w="975" w:type="dxa"/>
            <w:tcBorders>
              <w:top w:val="single" w:sz="4" w:space="0" w:color="auto"/>
              <w:bottom w:val="single" w:sz="6" w:space="0" w:color="auto"/>
            </w:tcBorders>
          </w:tcPr>
          <w:p w14:paraId="419CC7A8" w14:textId="77777777" w:rsidR="00BC465B" w:rsidRPr="004D1ED1" w:rsidRDefault="00BC465B" w:rsidP="00614611">
            <w:pPr>
              <w:spacing w:before="60"/>
              <w:jc w:val="right"/>
            </w:pPr>
            <w:r w:rsidRPr="004D1ED1">
              <w:t>-1,11</w:t>
            </w:r>
          </w:p>
        </w:tc>
        <w:tc>
          <w:tcPr>
            <w:tcW w:w="975" w:type="dxa"/>
            <w:tcBorders>
              <w:top w:val="single" w:sz="4" w:space="0" w:color="auto"/>
              <w:bottom w:val="single" w:sz="6" w:space="0" w:color="auto"/>
            </w:tcBorders>
          </w:tcPr>
          <w:p w14:paraId="36A44F66" w14:textId="77777777" w:rsidR="00BC465B" w:rsidRPr="004D1ED1" w:rsidRDefault="00BC465B" w:rsidP="00614611">
            <w:pPr>
              <w:spacing w:before="60"/>
              <w:jc w:val="right"/>
            </w:pPr>
            <w:r w:rsidRPr="004D1ED1">
              <w:t>-1,80</w:t>
            </w:r>
          </w:p>
        </w:tc>
        <w:tc>
          <w:tcPr>
            <w:tcW w:w="975" w:type="dxa"/>
            <w:tcBorders>
              <w:top w:val="single" w:sz="4" w:space="0" w:color="auto"/>
              <w:bottom w:val="single" w:sz="6" w:space="0" w:color="auto"/>
              <w:right w:val="single" w:sz="18" w:space="0" w:color="auto"/>
            </w:tcBorders>
          </w:tcPr>
          <w:p w14:paraId="5886CDF3" w14:textId="77777777" w:rsidR="00BC465B" w:rsidRPr="004D1ED1" w:rsidRDefault="00BC465B" w:rsidP="00614611">
            <w:pPr>
              <w:spacing w:before="60"/>
              <w:jc w:val="right"/>
            </w:pPr>
            <w:r w:rsidRPr="004D1ED1">
              <w:t>-2,91</w:t>
            </w:r>
          </w:p>
        </w:tc>
        <w:tc>
          <w:tcPr>
            <w:tcW w:w="976" w:type="dxa"/>
            <w:tcBorders>
              <w:left w:val="single" w:sz="18" w:space="0" w:color="auto"/>
            </w:tcBorders>
          </w:tcPr>
          <w:p w14:paraId="4697D192" w14:textId="77777777" w:rsidR="00BC465B" w:rsidRPr="004D1ED1" w:rsidRDefault="00BC465B" w:rsidP="00614611">
            <w:pPr>
              <w:spacing w:before="60"/>
              <w:jc w:val="right"/>
            </w:pPr>
            <w:r w:rsidRPr="004D1ED1">
              <w:t>0</w:t>
            </w:r>
          </w:p>
        </w:tc>
        <w:tc>
          <w:tcPr>
            <w:tcW w:w="975" w:type="dxa"/>
          </w:tcPr>
          <w:p w14:paraId="494FB644" w14:textId="77777777" w:rsidR="00BC465B" w:rsidRPr="004D1ED1" w:rsidRDefault="00BC465B" w:rsidP="00614611">
            <w:pPr>
              <w:spacing w:before="60"/>
              <w:jc w:val="right"/>
            </w:pPr>
            <w:r w:rsidRPr="004D1ED1">
              <w:t>0</w:t>
            </w:r>
          </w:p>
        </w:tc>
        <w:tc>
          <w:tcPr>
            <w:tcW w:w="975" w:type="dxa"/>
          </w:tcPr>
          <w:p w14:paraId="12101B95" w14:textId="77777777" w:rsidR="00BC465B" w:rsidRPr="004D1ED1" w:rsidRDefault="00BC465B" w:rsidP="00614611">
            <w:pPr>
              <w:spacing w:before="60"/>
              <w:jc w:val="right"/>
            </w:pPr>
            <w:r w:rsidRPr="004D1ED1">
              <w:t>0</w:t>
            </w:r>
          </w:p>
        </w:tc>
        <w:tc>
          <w:tcPr>
            <w:tcW w:w="976" w:type="dxa"/>
          </w:tcPr>
          <w:p w14:paraId="0EFEE48B" w14:textId="77777777" w:rsidR="00BC465B" w:rsidRPr="004D1ED1" w:rsidRDefault="00BC465B" w:rsidP="00614611">
            <w:pPr>
              <w:spacing w:before="60"/>
              <w:jc w:val="right"/>
            </w:pPr>
            <w:r w:rsidRPr="004D1ED1">
              <w:t>0</w:t>
            </w:r>
          </w:p>
        </w:tc>
      </w:tr>
      <w:tr w:rsidR="00BC465B" w:rsidRPr="004D1ED1" w14:paraId="1D351C8E" w14:textId="77777777" w:rsidTr="00614611">
        <w:tc>
          <w:tcPr>
            <w:tcW w:w="2245" w:type="dxa"/>
            <w:tcBorders>
              <w:top w:val="single" w:sz="6" w:space="0" w:color="auto"/>
              <w:bottom w:val="single" w:sz="6" w:space="0" w:color="auto"/>
            </w:tcBorders>
            <w:shd w:val="clear" w:color="auto" w:fill="FFF2CC" w:themeFill="accent4" w:themeFillTint="33"/>
          </w:tcPr>
          <w:p w14:paraId="04296B3E" w14:textId="77777777" w:rsidR="00BC465B" w:rsidRPr="004D1ED1" w:rsidRDefault="00BC465B" w:rsidP="00614611">
            <w:pPr>
              <w:spacing w:before="60"/>
            </w:pPr>
            <w:r w:rsidRPr="004D1ED1">
              <w:t>Dopravné nehody</w:t>
            </w:r>
          </w:p>
        </w:tc>
        <w:tc>
          <w:tcPr>
            <w:tcW w:w="975" w:type="dxa"/>
            <w:tcBorders>
              <w:top w:val="single" w:sz="6" w:space="0" w:color="auto"/>
              <w:bottom w:val="single" w:sz="6" w:space="0" w:color="auto"/>
            </w:tcBorders>
            <w:shd w:val="clear" w:color="auto" w:fill="FFF2CC" w:themeFill="accent4" w:themeFillTint="33"/>
          </w:tcPr>
          <w:p w14:paraId="4403CA58" w14:textId="77777777" w:rsidR="00BC465B" w:rsidRPr="004D1ED1" w:rsidRDefault="00BC465B" w:rsidP="00614611">
            <w:pPr>
              <w:spacing w:before="60"/>
              <w:jc w:val="right"/>
            </w:pPr>
            <w:r w:rsidRPr="004D1ED1">
              <w:t>0,25</w:t>
            </w:r>
          </w:p>
        </w:tc>
        <w:tc>
          <w:tcPr>
            <w:tcW w:w="975" w:type="dxa"/>
            <w:tcBorders>
              <w:top w:val="single" w:sz="6" w:space="0" w:color="auto"/>
              <w:bottom w:val="single" w:sz="6" w:space="0" w:color="auto"/>
            </w:tcBorders>
            <w:shd w:val="clear" w:color="auto" w:fill="FFF2CC" w:themeFill="accent4" w:themeFillTint="33"/>
          </w:tcPr>
          <w:p w14:paraId="60765ADF" w14:textId="77777777" w:rsidR="00BC465B" w:rsidRPr="004D1ED1" w:rsidRDefault="00BC465B" w:rsidP="00614611">
            <w:pPr>
              <w:spacing w:before="60"/>
              <w:jc w:val="right"/>
            </w:pPr>
            <w:r w:rsidRPr="004D1ED1">
              <w:t>0,54</w:t>
            </w:r>
          </w:p>
        </w:tc>
        <w:tc>
          <w:tcPr>
            <w:tcW w:w="975" w:type="dxa"/>
            <w:tcBorders>
              <w:top w:val="single" w:sz="6" w:space="0" w:color="auto"/>
              <w:bottom w:val="single" w:sz="6" w:space="0" w:color="auto"/>
              <w:right w:val="single" w:sz="18" w:space="0" w:color="auto"/>
            </w:tcBorders>
            <w:shd w:val="clear" w:color="auto" w:fill="FFF2CC" w:themeFill="accent4" w:themeFillTint="33"/>
          </w:tcPr>
          <w:p w14:paraId="37891319" w14:textId="77777777" w:rsidR="00BC465B" w:rsidRPr="004D1ED1" w:rsidRDefault="00BC465B" w:rsidP="00614611">
            <w:pPr>
              <w:spacing w:before="60"/>
              <w:jc w:val="right"/>
            </w:pPr>
            <w:r w:rsidRPr="004D1ED1">
              <w:t>0,78</w:t>
            </w:r>
          </w:p>
        </w:tc>
        <w:tc>
          <w:tcPr>
            <w:tcW w:w="976" w:type="dxa"/>
            <w:tcBorders>
              <w:left w:val="single" w:sz="18" w:space="0" w:color="auto"/>
            </w:tcBorders>
            <w:shd w:val="clear" w:color="auto" w:fill="FFF2CC" w:themeFill="accent4" w:themeFillTint="33"/>
          </w:tcPr>
          <w:p w14:paraId="20AE8A1D" w14:textId="77777777" w:rsidR="00BC465B" w:rsidRPr="004D1ED1" w:rsidRDefault="00BC465B" w:rsidP="00614611">
            <w:pPr>
              <w:spacing w:before="60"/>
              <w:jc w:val="right"/>
            </w:pPr>
            <w:r w:rsidRPr="004D1ED1">
              <w:t>0</w:t>
            </w:r>
          </w:p>
        </w:tc>
        <w:tc>
          <w:tcPr>
            <w:tcW w:w="975" w:type="dxa"/>
            <w:shd w:val="clear" w:color="auto" w:fill="FFF2CC" w:themeFill="accent4" w:themeFillTint="33"/>
          </w:tcPr>
          <w:p w14:paraId="62F540D1" w14:textId="77777777" w:rsidR="00BC465B" w:rsidRPr="004D1ED1" w:rsidRDefault="00BC465B" w:rsidP="00614611">
            <w:pPr>
              <w:spacing w:before="60"/>
              <w:jc w:val="right"/>
            </w:pPr>
            <w:r w:rsidRPr="004D1ED1">
              <w:t>0,22</w:t>
            </w:r>
          </w:p>
        </w:tc>
        <w:tc>
          <w:tcPr>
            <w:tcW w:w="975" w:type="dxa"/>
            <w:shd w:val="clear" w:color="auto" w:fill="FFF2CC" w:themeFill="accent4" w:themeFillTint="33"/>
          </w:tcPr>
          <w:p w14:paraId="75C47A4C" w14:textId="77777777" w:rsidR="00BC465B" w:rsidRPr="004D1ED1" w:rsidRDefault="00BC465B" w:rsidP="00614611">
            <w:pPr>
              <w:spacing w:before="60"/>
              <w:jc w:val="right"/>
            </w:pPr>
            <w:r w:rsidRPr="004D1ED1">
              <w:t>0</w:t>
            </w:r>
          </w:p>
        </w:tc>
        <w:tc>
          <w:tcPr>
            <w:tcW w:w="976" w:type="dxa"/>
            <w:shd w:val="clear" w:color="auto" w:fill="FFF2CC" w:themeFill="accent4" w:themeFillTint="33"/>
          </w:tcPr>
          <w:p w14:paraId="0D94B6CA" w14:textId="77777777" w:rsidR="00BC465B" w:rsidRPr="004D1ED1" w:rsidRDefault="00BC465B" w:rsidP="00614611">
            <w:pPr>
              <w:spacing w:before="60"/>
              <w:jc w:val="right"/>
            </w:pPr>
            <w:r w:rsidRPr="004D1ED1">
              <w:t>0,22</w:t>
            </w:r>
          </w:p>
        </w:tc>
      </w:tr>
      <w:tr w:rsidR="00BC465B" w:rsidRPr="004D1ED1" w14:paraId="3851D23B" w14:textId="77777777" w:rsidTr="00614611">
        <w:tc>
          <w:tcPr>
            <w:tcW w:w="2245" w:type="dxa"/>
            <w:tcBorders>
              <w:top w:val="single" w:sz="6" w:space="0" w:color="auto"/>
              <w:bottom w:val="single" w:sz="6" w:space="0" w:color="auto"/>
            </w:tcBorders>
          </w:tcPr>
          <w:p w14:paraId="19953DC5" w14:textId="77777777" w:rsidR="00BC465B" w:rsidRPr="004D1ED1" w:rsidRDefault="00BC465B" w:rsidP="00614611">
            <w:pPr>
              <w:spacing w:before="60"/>
            </w:pPr>
            <w:r w:rsidRPr="004D1ED1">
              <w:t>Znečistenie ovzdušia</w:t>
            </w:r>
          </w:p>
        </w:tc>
        <w:tc>
          <w:tcPr>
            <w:tcW w:w="975" w:type="dxa"/>
            <w:tcBorders>
              <w:top w:val="single" w:sz="6" w:space="0" w:color="auto"/>
              <w:bottom w:val="single" w:sz="6" w:space="0" w:color="auto"/>
            </w:tcBorders>
          </w:tcPr>
          <w:p w14:paraId="0D6F5B4D" w14:textId="77777777" w:rsidR="00BC465B" w:rsidRPr="004D1ED1" w:rsidRDefault="00BC465B" w:rsidP="00614611">
            <w:pPr>
              <w:spacing w:before="60"/>
              <w:jc w:val="right"/>
            </w:pPr>
            <w:r w:rsidRPr="004D1ED1">
              <w:t>0</w:t>
            </w:r>
          </w:p>
        </w:tc>
        <w:tc>
          <w:tcPr>
            <w:tcW w:w="975" w:type="dxa"/>
            <w:tcBorders>
              <w:top w:val="single" w:sz="6" w:space="0" w:color="auto"/>
              <w:bottom w:val="single" w:sz="6" w:space="0" w:color="auto"/>
            </w:tcBorders>
          </w:tcPr>
          <w:p w14:paraId="040E5D50" w14:textId="77777777" w:rsidR="00BC465B" w:rsidRPr="004D1ED1" w:rsidRDefault="00BC465B" w:rsidP="00614611">
            <w:pPr>
              <w:spacing w:before="60"/>
              <w:jc w:val="right"/>
            </w:pPr>
            <w:r w:rsidRPr="004D1ED1">
              <w:t>0</w:t>
            </w:r>
          </w:p>
        </w:tc>
        <w:tc>
          <w:tcPr>
            <w:tcW w:w="975" w:type="dxa"/>
            <w:tcBorders>
              <w:top w:val="single" w:sz="6" w:space="0" w:color="auto"/>
              <w:bottom w:val="single" w:sz="6" w:space="0" w:color="auto"/>
              <w:right w:val="single" w:sz="18" w:space="0" w:color="auto"/>
            </w:tcBorders>
          </w:tcPr>
          <w:p w14:paraId="361E6C5A" w14:textId="77777777" w:rsidR="00BC465B" w:rsidRPr="004D1ED1" w:rsidRDefault="00BC465B" w:rsidP="00614611">
            <w:pPr>
              <w:spacing w:before="60"/>
              <w:jc w:val="right"/>
            </w:pPr>
            <w:r w:rsidRPr="004D1ED1">
              <w:t>0</w:t>
            </w:r>
          </w:p>
        </w:tc>
        <w:tc>
          <w:tcPr>
            <w:tcW w:w="976" w:type="dxa"/>
            <w:tcBorders>
              <w:left w:val="single" w:sz="18" w:space="0" w:color="auto"/>
            </w:tcBorders>
          </w:tcPr>
          <w:p w14:paraId="482F8B91" w14:textId="77777777" w:rsidR="00BC465B" w:rsidRPr="004D1ED1" w:rsidRDefault="00BC465B" w:rsidP="00614611">
            <w:pPr>
              <w:spacing w:before="60"/>
              <w:jc w:val="right"/>
            </w:pPr>
            <w:r w:rsidRPr="004D1ED1">
              <w:t>0</w:t>
            </w:r>
          </w:p>
        </w:tc>
        <w:tc>
          <w:tcPr>
            <w:tcW w:w="975" w:type="dxa"/>
          </w:tcPr>
          <w:p w14:paraId="630A0F78" w14:textId="77777777" w:rsidR="00BC465B" w:rsidRPr="004D1ED1" w:rsidRDefault="00BC465B" w:rsidP="00614611">
            <w:pPr>
              <w:spacing w:before="60"/>
              <w:jc w:val="right"/>
            </w:pPr>
            <w:r w:rsidRPr="004D1ED1">
              <w:t>0,03</w:t>
            </w:r>
          </w:p>
        </w:tc>
        <w:tc>
          <w:tcPr>
            <w:tcW w:w="975" w:type="dxa"/>
          </w:tcPr>
          <w:p w14:paraId="1400479D" w14:textId="77777777" w:rsidR="00BC465B" w:rsidRPr="004D1ED1" w:rsidRDefault="00BC465B" w:rsidP="00614611">
            <w:pPr>
              <w:spacing w:before="60"/>
              <w:jc w:val="right"/>
            </w:pPr>
            <w:r w:rsidRPr="004D1ED1">
              <w:t>0</w:t>
            </w:r>
          </w:p>
        </w:tc>
        <w:tc>
          <w:tcPr>
            <w:tcW w:w="976" w:type="dxa"/>
          </w:tcPr>
          <w:p w14:paraId="69C7FD6B" w14:textId="77777777" w:rsidR="00BC465B" w:rsidRPr="004D1ED1" w:rsidRDefault="00BC465B" w:rsidP="00614611">
            <w:pPr>
              <w:spacing w:before="60"/>
              <w:jc w:val="right"/>
            </w:pPr>
            <w:r w:rsidRPr="004D1ED1">
              <w:t>0,03</w:t>
            </w:r>
          </w:p>
        </w:tc>
      </w:tr>
      <w:tr w:rsidR="00BC465B" w:rsidRPr="004D1ED1" w14:paraId="466D9CCF" w14:textId="77777777" w:rsidTr="00614611">
        <w:tc>
          <w:tcPr>
            <w:tcW w:w="2245" w:type="dxa"/>
            <w:tcBorders>
              <w:top w:val="single" w:sz="6" w:space="0" w:color="auto"/>
              <w:bottom w:val="single" w:sz="6" w:space="0" w:color="auto"/>
            </w:tcBorders>
          </w:tcPr>
          <w:p w14:paraId="35FAEB8A" w14:textId="77777777" w:rsidR="00BC465B" w:rsidRPr="004D1ED1" w:rsidRDefault="00BC465B" w:rsidP="00614611">
            <w:pPr>
              <w:spacing w:before="60"/>
            </w:pPr>
            <w:r w:rsidRPr="004D1ED1">
              <w:t xml:space="preserve">Klimatické zmeny </w:t>
            </w:r>
          </w:p>
        </w:tc>
        <w:tc>
          <w:tcPr>
            <w:tcW w:w="975" w:type="dxa"/>
            <w:tcBorders>
              <w:top w:val="single" w:sz="6" w:space="0" w:color="auto"/>
              <w:bottom w:val="single" w:sz="6" w:space="0" w:color="auto"/>
            </w:tcBorders>
          </w:tcPr>
          <w:p w14:paraId="762AD942" w14:textId="77777777" w:rsidR="00BC465B" w:rsidRPr="004D1ED1" w:rsidRDefault="00BC465B" w:rsidP="00614611">
            <w:pPr>
              <w:spacing w:before="60"/>
              <w:jc w:val="right"/>
            </w:pPr>
            <w:r w:rsidRPr="004D1ED1">
              <w:t>0</w:t>
            </w:r>
          </w:p>
        </w:tc>
        <w:tc>
          <w:tcPr>
            <w:tcW w:w="975" w:type="dxa"/>
            <w:tcBorders>
              <w:top w:val="single" w:sz="6" w:space="0" w:color="auto"/>
              <w:bottom w:val="single" w:sz="6" w:space="0" w:color="auto"/>
            </w:tcBorders>
          </w:tcPr>
          <w:p w14:paraId="64DDA7CB" w14:textId="77777777" w:rsidR="00BC465B" w:rsidRPr="004D1ED1" w:rsidRDefault="00BC465B" w:rsidP="00614611">
            <w:pPr>
              <w:spacing w:before="60"/>
              <w:jc w:val="right"/>
            </w:pPr>
            <w:r w:rsidRPr="004D1ED1">
              <w:t>0</w:t>
            </w:r>
          </w:p>
        </w:tc>
        <w:tc>
          <w:tcPr>
            <w:tcW w:w="975" w:type="dxa"/>
            <w:tcBorders>
              <w:top w:val="single" w:sz="6" w:space="0" w:color="auto"/>
              <w:bottom w:val="single" w:sz="6" w:space="0" w:color="auto"/>
              <w:right w:val="single" w:sz="18" w:space="0" w:color="auto"/>
            </w:tcBorders>
          </w:tcPr>
          <w:p w14:paraId="267B0977" w14:textId="77777777" w:rsidR="00BC465B" w:rsidRPr="004D1ED1" w:rsidRDefault="00BC465B" w:rsidP="00614611">
            <w:pPr>
              <w:spacing w:before="60"/>
              <w:jc w:val="right"/>
            </w:pPr>
            <w:r w:rsidRPr="004D1ED1">
              <w:t>0</w:t>
            </w:r>
          </w:p>
        </w:tc>
        <w:tc>
          <w:tcPr>
            <w:tcW w:w="976" w:type="dxa"/>
            <w:tcBorders>
              <w:left w:val="single" w:sz="18" w:space="0" w:color="auto"/>
            </w:tcBorders>
          </w:tcPr>
          <w:p w14:paraId="5926D13A" w14:textId="77777777" w:rsidR="00BC465B" w:rsidRPr="004D1ED1" w:rsidRDefault="00BC465B" w:rsidP="00614611">
            <w:pPr>
              <w:spacing w:before="60"/>
              <w:jc w:val="right"/>
            </w:pPr>
            <w:r w:rsidRPr="004D1ED1">
              <w:t>0</w:t>
            </w:r>
          </w:p>
        </w:tc>
        <w:tc>
          <w:tcPr>
            <w:tcW w:w="975" w:type="dxa"/>
          </w:tcPr>
          <w:p w14:paraId="41358459" w14:textId="77777777" w:rsidR="00BC465B" w:rsidRPr="004D1ED1" w:rsidRDefault="00BC465B" w:rsidP="00614611">
            <w:pPr>
              <w:spacing w:before="60"/>
              <w:jc w:val="right"/>
            </w:pPr>
            <w:r w:rsidRPr="004D1ED1">
              <w:t>0,04</w:t>
            </w:r>
          </w:p>
        </w:tc>
        <w:tc>
          <w:tcPr>
            <w:tcW w:w="975" w:type="dxa"/>
          </w:tcPr>
          <w:p w14:paraId="3D2321D9" w14:textId="77777777" w:rsidR="00BC465B" w:rsidRPr="004D1ED1" w:rsidRDefault="00BC465B" w:rsidP="00614611">
            <w:pPr>
              <w:spacing w:before="60"/>
              <w:jc w:val="right"/>
            </w:pPr>
            <w:r w:rsidRPr="004D1ED1">
              <w:t>0</w:t>
            </w:r>
          </w:p>
        </w:tc>
        <w:tc>
          <w:tcPr>
            <w:tcW w:w="976" w:type="dxa"/>
          </w:tcPr>
          <w:p w14:paraId="07D661AB" w14:textId="77777777" w:rsidR="00BC465B" w:rsidRPr="004D1ED1" w:rsidRDefault="00BC465B" w:rsidP="00614611">
            <w:pPr>
              <w:spacing w:before="60"/>
              <w:jc w:val="right"/>
            </w:pPr>
            <w:r w:rsidRPr="004D1ED1">
              <w:t>0,04</w:t>
            </w:r>
          </w:p>
        </w:tc>
      </w:tr>
      <w:tr w:rsidR="00BC465B" w:rsidRPr="004D1ED1" w14:paraId="2EC1D8BF" w14:textId="77777777" w:rsidTr="00614611">
        <w:tc>
          <w:tcPr>
            <w:tcW w:w="2245" w:type="dxa"/>
            <w:tcBorders>
              <w:top w:val="single" w:sz="6" w:space="0" w:color="auto"/>
              <w:bottom w:val="single" w:sz="6" w:space="0" w:color="auto"/>
            </w:tcBorders>
            <w:shd w:val="clear" w:color="auto" w:fill="FFF2CC" w:themeFill="accent4" w:themeFillTint="33"/>
          </w:tcPr>
          <w:p w14:paraId="76259A2C" w14:textId="77777777" w:rsidR="00BC465B" w:rsidRPr="004D1ED1" w:rsidRDefault="00BC465B" w:rsidP="00614611">
            <w:pPr>
              <w:spacing w:before="60"/>
            </w:pPr>
            <w:r w:rsidRPr="004D1ED1">
              <w:t>Hluk</w:t>
            </w:r>
          </w:p>
        </w:tc>
        <w:tc>
          <w:tcPr>
            <w:tcW w:w="975" w:type="dxa"/>
            <w:tcBorders>
              <w:top w:val="single" w:sz="6" w:space="0" w:color="auto"/>
              <w:bottom w:val="single" w:sz="6" w:space="0" w:color="auto"/>
            </w:tcBorders>
            <w:shd w:val="clear" w:color="auto" w:fill="FFF2CC" w:themeFill="accent4" w:themeFillTint="33"/>
          </w:tcPr>
          <w:p w14:paraId="1B98762F" w14:textId="77777777" w:rsidR="00BC465B" w:rsidRPr="004D1ED1" w:rsidRDefault="00BC465B" w:rsidP="00614611">
            <w:pPr>
              <w:spacing w:before="60"/>
              <w:jc w:val="right"/>
            </w:pPr>
            <w:r w:rsidRPr="004D1ED1">
              <w:t>0</w:t>
            </w:r>
          </w:p>
        </w:tc>
        <w:tc>
          <w:tcPr>
            <w:tcW w:w="975" w:type="dxa"/>
            <w:tcBorders>
              <w:top w:val="single" w:sz="6" w:space="0" w:color="auto"/>
              <w:bottom w:val="single" w:sz="6" w:space="0" w:color="auto"/>
            </w:tcBorders>
            <w:shd w:val="clear" w:color="auto" w:fill="FFF2CC" w:themeFill="accent4" w:themeFillTint="33"/>
          </w:tcPr>
          <w:p w14:paraId="42FAA7A4" w14:textId="77777777" w:rsidR="00BC465B" w:rsidRPr="004D1ED1" w:rsidRDefault="00BC465B" w:rsidP="00614611">
            <w:pPr>
              <w:spacing w:before="60"/>
              <w:jc w:val="right"/>
            </w:pPr>
            <w:r w:rsidRPr="004D1ED1">
              <w:t>0</w:t>
            </w:r>
          </w:p>
        </w:tc>
        <w:tc>
          <w:tcPr>
            <w:tcW w:w="975" w:type="dxa"/>
            <w:tcBorders>
              <w:top w:val="single" w:sz="6" w:space="0" w:color="auto"/>
              <w:bottom w:val="single" w:sz="6" w:space="0" w:color="auto"/>
              <w:right w:val="single" w:sz="18" w:space="0" w:color="auto"/>
            </w:tcBorders>
            <w:shd w:val="clear" w:color="auto" w:fill="FFF2CC" w:themeFill="accent4" w:themeFillTint="33"/>
          </w:tcPr>
          <w:p w14:paraId="24FE0BC2" w14:textId="77777777" w:rsidR="00BC465B" w:rsidRPr="004D1ED1" w:rsidRDefault="00BC465B" w:rsidP="00614611">
            <w:pPr>
              <w:spacing w:before="60"/>
              <w:jc w:val="right"/>
            </w:pPr>
            <w:r w:rsidRPr="004D1ED1">
              <w:t>0</w:t>
            </w:r>
          </w:p>
        </w:tc>
        <w:tc>
          <w:tcPr>
            <w:tcW w:w="976" w:type="dxa"/>
            <w:tcBorders>
              <w:left w:val="single" w:sz="18" w:space="0" w:color="auto"/>
            </w:tcBorders>
            <w:shd w:val="clear" w:color="auto" w:fill="FFF2CC" w:themeFill="accent4" w:themeFillTint="33"/>
          </w:tcPr>
          <w:p w14:paraId="4115C866" w14:textId="77777777" w:rsidR="00BC465B" w:rsidRPr="004D1ED1" w:rsidRDefault="00BC465B" w:rsidP="00614611">
            <w:pPr>
              <w:spacing w:before="60"/>
              <w:jc w:val="right"/>
            </w:pPr>
            <w:r w:rsidRPr="004D1ED1">
              <w:t>0</w:t>
            </w:r>
          </w:p>
        </w:tc>
        <w:tc>
          <w:tcPr>
            <w:tcW w:w="975" w:type="dxa"/>
            <w:shd w:val="clear" w:color="auto" w:fill="FFF2CC" w:themeFill="accent4" w:themeFillTint="33"/>
          </w:tcPr>
          <w:p w14:paraId="7BB5D05C" w14:textId="77777777" w:rsidR="00BC465B" w:rsidRPr="004D1ED1" w:rsidRDefault="00BC465B" w:rsidP="00614611">
            <w:pPr>
              <w:spacing w:before="60"/>
              <w:jc w:val="right"/>
            </w:pPr>
            <w:r w:rsidRPr="004D1ED1">
              <w:t>0,36</w:t>
            </w:r>
          </w:p>
        </w:tc>
        <w:tc>
          <w:tcPr>
            <w:tcW w:w="975" w:type="dxa"/>
            <w:shd w:val="clear" w:color="auto" w:fill="FFF2CC" w:themeFill="accent4" w:themeFillTint="33"/>
          </w:tcPr>
          <w:p w14:paraId="09075B6D" w14:textId="77777777" w:rsidR="00BC465B" w:rsidRPr="004D1ED1" w:rsidRDefault="00BC465B" w:rsidP="00614611">
            <w:pPr>
              <w:spacing w:before="60"/>
              <w:jc w:val="right"/>
            </w:pPr>
            <w:r w:rsidRPr="004D1ED1">
              <w:t>0</w:t>
            </w:r>
          </w:p>
        </w:tc>
        <w:tc>
          <w:tcPr>
            <w:tcW w:w="976" w:type="dxa"/>
            <w:shd w:val="clear" w:color="auto" w:fill="FFF2CC" w:themeFill="accent4" w:themeFillTint="33"/>
          </w:tcPr>
          <w:p w14:paraId="7A4B1DC4" w14:textId="77777777" w:rsidR="00BC465B" w:rsidRPr="004D1ED1" w:rsidRDefault="00BC465B" w:rsidP="00614611">
            <w:pPr>
              <w:spacing w:before="60"/>
              <w:jc w:val="right"/>
            </w:pPr>
            <w:r w:rsidRPr="004D1ED1">
              <w:t>0,36</w:t>
            </w:r>
          </w:p>
        </w:tc>
      </w:tr>
      <w:tr w:rsidR="00BC465B" w:rsidRPr="004D1ED1" w14:paraId="04DC7BA4" w14:textId="77777777" w:rsidTr="00614611">
        <w:tc>
          <w:tcPr>
            <w:tcW w:w="2245" w:type="dxa"/>
            <w:tcBorders>
              <w:top w:val="single" w:sz="6" w:space="0" w:color="auto"/>
              <w:bottom w:val="single" w:sz="6" w:space="0" w:color="auto"/>
            </w:tcBorders>
          </w:tcPr>
          <w:p w14:paraId="5DA4EAA1" w14:textId="77777777" w:rsidR="00BC465B" w:rsidRPr="004D1ED1" w:rsidRDefault="00BC465B" w:rsidP="00614611">
            <w:pPr>
              <w:spacing w:before="60"/>
            </w:pPr>
            <w:r w:rsidRPr="004D1ED1">
              <w:t>Opotrebenie vozovky</w:t>
            </w:r>
          </w:p>
        </w:tc>
        <w:tc>
          <w:tcPr>
            <w:tcW w:w="975" w:type="dxa"/>
            <w:tcBorders>
              <w:top w:val="single" w:sz="6" w:space="0" w:color="auto"/>
              <w:bottom w:val="single" w:sz="6" w:space="0" w:color="auto"/>
            </w:tcBorders>
          </w:tcPr>
          <w:p w14:paraId="1ACA1B20" w14:textId="77777777" w:rsidR="00BC465B" w:rsidRPr="004D1ED1" w:rsidRDefault="00BC465B" w:rsidP="00614611">
            <w:pPr>
              <w:spacing w:before="60"/>
              <w:jc w:val="right"/>
            </w:pPr>
            <w:r w:rsidRPr="004D1ED1">
              <w:t>0</w:t>
            </w:r>
          </w:p>
        </w:tc>
        <w:tc>
          <w:tcPr>
            <w:tcW w:w="975" w:type="dxa"/>
            <w:tcBorders>
              <w:top w:val="single" w:sz="6" w:space="0" w:color="auto"/>
              <w:bottom w:val="single" w:sz="6" w:space="0" w:color="auto"/>
            </w:tcBorders>
          </w:tcPr>
          <w:p w14:paraId="567F5F09" w14:textId="77777777" w:rsidR="00BC465B" w:rsidRPr="004D1ED1" w:rsidRDefault="00BC465B" w:rsidP="00614611">
            <w:pPr>
              <w:spacing w:before="60"/>
              <w:jc w:val="right"/>
            </w:pPr>
            <w:r w:rsidRPr="004D1ED1">
              <w:t>0</w:t>
            </w:r>
          </w:p>
        </w:tc>
        <w:tc>
          <w:tcPr>
            <w:tcW w:w="975" w:type="dxa"/>
            <w:tcBorders>
              <w:top w:val="single" w:sz="6" w:space="0" w:color="auto"/>
              <w:bottom w:val="single" w:sz="6" w:space="0" w:color="auto"/>
              <w:right w:val="single" w:sz="18" w:space="0" w:color="auto"/>
            </w:tcBorders>
          </w:tcPr>
          <w:p w14:paraId="6F6DAFE3" w14:textId="77777777" w:rsidR="00BC465B" w:rsidRPr="004D1ED1" w:rsidRDefault="00BC465B" w:rsidP="00614611">
            <w:pPr>
              <w:spacing w:before="60"/>
              <w:jc w:val="right"/>
            </w:pPr>
            <w:r w:rsidRPr="004D1ED1">
              <w:t>0</w:t>
            </w:r>
          </w:p>
        </w:tc>
        <w:tc>
          <w:tcPr>
            <w:tcW w:w="976" w:type="dxa"/>
            <w:tcBorders>
              <w:left w:val="single" w:sz="18" w:space="0" w:color="auto"/>
            </w:tcBorders>
          </w:tcPr>
          <w:p w14:paraId="5E018C94" w14:textId="77777777" w:rsidR="00BC465B" w:rsidRPr="004D1ED1" w:rsidRDefault="00BC465B" w:rsidP="00614611">
            <w:pPr>
              <w:spacing w:before="60"/>
              <w:jc w:val="right"/>
            </w:pPr>
            <w:r w:rsidRPr="004D1ED1">
              <w:t>0</w:t>
            </w:r>
          </w:p>
        </w:tc>
        <w:tc>
          <w:tcPr>
            <w:tcW w:w="975" w:type="dxa"/>
          </w:tcPr>
          <w:p w14:paraId="7C7AE001" w14:textId="77777777" w:rsidR="00BC465B" w:rsidRPr="004D1ED1" w:rsidRDefault="00BC465B" w:rsidP="00614611">
            <w:pPr>
              <w:spacing w:before="60"/>
              <w:jc w:val="right"/>
            </w:pPr>
            <w:r w:rsidRPr="004D1ED1">
              <w:t>0,01</w:t>
            </w:r>
          </w:p>
        </w:tc>
        <w:tc>
          <w:tcPr>
            <w:tcW w:w="975" w:type="dxa"/>
          </w:tcPr>
          <w:p w14:paraId="10F08931" w14:textId="77777777" w:rsidR="00BC465B" w:rsidRPr="004D1ED1" w:rsidRDefault="00BC465B" w:rsidP="00614611">
            <w:pPr>
              <w:spacing w:before="60"/>
              <w:jc w:val="right"/>
            </w:pPr>
            <w:r w:rsidRPr="004D1ED1">
              <w:t>0</w:t>
            </w:r>
          </w:p>
        </w:tc>
        <w:tc>
          <w:tcPr>
            <w:tcW w:w="976" w:type="dxa"/>
          </w:tcPr>
          <w:p w14:paraId="76CBD5F8" w14:textId="77777777" w:rsidR="00BC465B" w:rsidRPr="004D1ED1" w:rsidRDefault="00BC465B" w:rsidP="00614611">
            <w:pPr>
              <w:spacing w:before="60"/>
              <w:jc w:val="right"/>
            </w:pPr>
            <w:r w:rsidRPr="004D1ED1">
              <w:t>0,01</w:t>
            </w:r>
          </w:p>
        </w:tc>
      </w:tr>
      <w:tr w:rsidR="00BC465B" w:rsidRPr="004D1ED1" w14:paraId="4C0F5505" w14:textId="77777777" w:rsidTr="00614611">
        <w:tc>
          <w:tcPr>
            <w:tcW w:w="2245" w:type="dxa"/>
            <w:tcBorders>
              <w:top w:val="single" w:sz="6" w:space="0" w:color="auto"/>
              <w:bottom w:val="single" w:sz="6" w:space="0" w:color="auto"/>
            </w:tcBorders>
          </w:tcPr>
          <w:p w14:paraId="197FEF76" w14:textId="77777777" w:rsidR="00BC465B" w:rsidRPr="004D1ED1" w:rsidRDefault="00BC465B" w:rsidP="00614611">
            <w:pPr>
              <w:spacing w:before="60"/>
            </w:pPr>
            <w:r w:rsidRPr="004D1ED1">
              <w:t>Dopravné zápchy</w:t>
            </w:r>
          </w:p>
        </w:tc>
        <w:tc>
          <w:tcPr>
            <w:tcW w:w="975" w:type="dxa"/>
            <w:tcBorders>
              <w:top w:val="single" w:sz="6" w:space="0" w:color="auto"/>
              <w:bottom w:val="single" w:sz="6" w:space="0" w:color="auto"/>
            </w:tcBorders>
          </w:tcPr>
          <w:p w14:paraId="5C125423" w14:textId="77777777" w:rsidR="00BC465B" w:rsidRPr="004D1ED1" w:rsidRDefault="00BC465B" w:rsidP="00614611">
            <w:pPr>
              <w:spacing w:before="60"/>
              <w:jc w:val="right"/>
            </w:pPr>
            <w:r w:rsidRPr="004D1ED1">
              <w:t>0</w:t>
            </w:r>
          </w:p>
        </w:tc>
        <w:tc>
          <w:tcPr>
            <w:tcW w:w="975" w:type="dxa"/>
            <w:tcBorders>
              <w:top w:val="single" w:sz="6" w:space="0" w:color="auto"/>
              <w:bottom w:val="single" w:sz="6" w:space="0" w:color="auto"/>
            </w:tcBorders>
          </w:tcPr>
          <w:p w14:paraId="4632AD7D" w14:textId="77777777" w:rsidR="00BC465B" w:rsidRPr="004D1ED1" w:rsidRDefault="00BC465B" w:rsidP="00614611">
            <w:pPr>
              <w:spacing w:before="60"/>
              <w:jc w:val="right"/>
            </w:pPr>
            <w:r w:rsidRPr="004D1ED1">
              <w:t>0</w:t>
            </w:r>
          </w:p>
        </w:tc>
        <w:tc>
          <w:tcPr>
            <w:tcW w:w="975" w:type="dxa"/>
            <w:tcBorders>
              <w:top w:val="single" w:sz="6" w:space="0" w:color="auto"/>
              <w:bottom w:val="single" w:sz="6" w:space="0" w:color="auto"/>
              <w:right w:val="single" w:sz="18" w:space="0" w:color="auto"/>
            </w:tcBorders>
          </w:tcPr>
          <w:p w14:paraId="21366808" w14:textId="77777777" w:rsidR="00BC465B" w:rsidRPr="004D1ED1" w:rsidRDefault="00BC465B" w:rsidP="00614611">
            <w:pPr>
              <w:spacing w:before="60"/>
              <w:jc w:val="right"/>
            </w:pPr>
            <w:r w:rsidRPr="004D1ED1">
              <w:t>0</w:t>
            </w:r>
          </w:p>
        </w:tc>
        <w:tc>
          <w:tcPr>
            <w:tcW w:w="976" w:type="dxa"/>
            <w:tcBorders>
              <w:left w:val="single" w:sz="18" w:space="0" w:color="auto"/>
            </w:tcBorders>
          </w:tcPr>
          <w:p w14:paraId="3F41C9A8" w14:textId="77777777" w:rsidR="00BC465B" w:rsidRPr="004D1ED1" w:rsidRDefault="00BC465B" w:rsidP="00614611">
            <w:pPr>
              <w:spacing w:before="60"/>
              <w:jc w:val="right"/>
            </w:pPr>
            <w:r w:rsidRPr="004D1ED1">
              <w:t>0</w:t>
            </w:r>
          </w:p>
        </w:tc>
        <w:tc>
          <w:tcPr>
            <w:tcW w:w="975" w:type="dxa"/>
          </w:tcPr>
          <w:p w14:paraId="59E20833" w14:textId="77777777" w:rsidR="00BC465B" w:rsidRPr="004D1ED1" w:rsidRDefault="00BC465B" w:rsidP="00614611">
            <w:pPr>
              <w:spacing w:before="60"/>
              <w:jc w:val="right"/>
            </w:pPr>
            <w:r w:rsidRPr="004D1ED1">
              <w:t>0,01</w:t>
            </w:r>
          </w:p>
        </w:tc>
        <w:tc>
          <w:tcPr>
            <w:tcW w:w="975" w:type="dxa"/>
          </w:tcPr>
          <w:p w14:paraId="4F616205" w14:textId="77777777" w:rsidR="00BC465B" w:rsidRPr="004D1ED1" w:rsidRDefault="00BC465B" w:rsidP="00614611">
            <w:pPr>
              <w:spacing w:before="60"/>
              <w:jc w:val="right"/>
            </w:pPr>
            <w:r w:rsidRPr="004D1ED1">
              <w:t>0</w:t>
            </w:r>
          </w:p>
        </w:tc>
        <w:tc>
          <w:tcPr>
            <w:tcW w:w="976" w:type="dxa"/>
          </w:tcPr>
          <w:p w14:paraId="65FA3D52" w14:textId="77777777" w:rsidR="00BC465B" w:rsidRPr="004D1ED1" w:rsidRDefault="00BC465B" w:rsidP="00614611">
            <w:pPr>
              <w:spacing w:before="60"/>
              <w:jc w:val="right"/>
            </w:pPr>
            <w:r w:rsidRPr="004D1ED1">
              <w:t>0,46</w:t>
            </w:r>
          </w:p>
        </w:tc>
      </w:tr>
      <w:tr w:rsidR="00BC465B" w:rsidRPr="004D1ED1" w14:paraId="13CEB78E" w14:textId="77777777" w:rsidTr="00614611">
        <w:tc>
          <w:tcPr>
            <w:tcW w:w="2245" w:type="dxa"/>
            <w:tcBorders>
              <w:top w:val="single" w:sz="6" w:space="0" w:color="auto"/>
              <w:bottom w:val="single" w:sz="18" w:space="0" w:color="auto"/>
            </w:tcBorders>
          </w:tcPr>
          <w:p w14:paraId="033D7FAE" w14:textId="77777777" w:rsidR="00BC465B" w:rsidRPr="004D1ED1" w:rsidRDefault="00BC465B" w:rsidP="00614611">
            <w:pPr>
              <w:spacing w:before="60"/>
            </w:pPr>
            <w:r w:rsidRPr="004D1ED1">
              <w:t>Celkovo</w:t>
            </w:r>
          </w:p>
        </w:tc>
        <w:tc>
          <w:tcPr>
            <w:tcW w:w="975" w:type="dxa"/>
            <w:tcBorders>
              <w:top w:val="single" w:sz="6" w:space="0" w:color="auto"/>
              <w:bottom w:val="single" w:sz="18" w:space="0" w:color="auto"/>
            </w:tcBorders>
          </w:tcPr>
          <w:p w14:paraId="6957E809" w14:textId="77777777" w:rsidR="00BC465B" w:rsidRPr="004D1ED1" w:rsidRDefault="00BC465B" w:rsidP="00614611">
            <w:pPr>
              <w:spacing w:before="60"/>
              <w:jc w:val="right"/>
            </w:pPr>
            <w:r w:rsidRPr="004D1ED1">
              <w:t>1,81</w:t>
            </w:r>
          </w:p>
        </w:tc>
        <w:tc>
          <w:tcPr>
            <w:tcW w:w="975" w:type="dxa"/>
            <w:tcBorders>
              <w:top w:val="single" w:sz="6" w:space="0" w:color="auto"/>
              <w:bottom w:val="single" w:sz="18" w:space="0" w:color="auto"/>
            </w:tcBorders>
          </w:tcPr>
          <w:p w14:paraId="6C6D9974" w14:textId="77777777" w:rsidR="00BC465B" w:rsidRPr="004D1ED1" w:rsidRDefault="00BC465B" w:rsidP="00614611">
            <w:pPr>
              <w:spacing w:before="60"/>
              <w:jc w:val="right"/>
            </w:pPr>
            <w:r w:rsidRPr="004D1ED1">
              <w:t>-1,22</w:t>
            </w:r>
          </w:p>
        </w:tc>
        <w:tc>
          <w:tcPr>
            <w:tcW w:w="975" w:type="dxa"/>
            <w:tcBorders>
              <w:top w:val="single" w:sz="6" w:space="0" w:color="auto"/>
              <w:bottom w:val="single" w:sz="18" w:space="0" w:color="auto"/>
              <w:right w:val="single" w:sz="18" w:space="0" w:color="auto"/>
            </w:tcBorders>
          </w:tcPr>
          <w:p w14:paraId="43A4F578" w14:textId="77777777" w:rsidR="00BC465B" w:rsidRPr="004D1ED1" w:rsidRDefault="00BC465B" w:rsidP="00614611">
            <w:pPr>
              <w:spacing w:before="60"/>
              <w:jc w:val="right"/>
            </w:pPr>
            <w:r w:rsidRPr="004D1ED1">
              <w:t>0,60</w:t>
            </w:r>
          </w:p>
        </w:tc>
        <w:tc>
          <w:tcPr>
            <w:tcW w:w="976" w:type="dxa"/>
            <w:tcBorders>
              <w:left w:val="single" w:sz="18" w:space="0" w:color="auto"/>
            </w:tcBorders>
          </w:tcPr>
          <w:p w14:paraId="2A69E006" w14:textId="77777777" w:rsidR="00BC465B" w:rsidRPr="004D1ED1" w:rsidRDefault="00BC465B" w:rsidP="00614611">
            <w:pPr>
              <w:spacing w:before="60"/>
              <w:jc w:val="right"/>
            </w:pPr>
            <w:r w:rsidRPr="004D1ED1">
              <w:t>3,80</w:t>
            </w:r>
          </w:p>
        </w:tc>
        <w:tc>
          <w:tcPr>
            <w:tcW w:w="975" w:type="dxa"/>
          </w:tcPr>
          <w:p w14:paraId="3AC42171" w14:textId="77777777" w:rsidR="00BC465B" w:rsidRPr="004D1ED1" w:rsidRDefault="00BC465B" w:rsidP="00614611">
            <w:pPr>
              <w:spacing w:before="60"/>
              <w:jc w:val="right"/>
            </w:pPr>
            <w:r w:rsidRPr="004D1ED1">
              <w:t>1,13</w:t>
            </w:r>
          </w:p>
        </w:tc>
        <w:tc>
          <w:tcPr>
            <w:tcW w:w="975" w:type="dxa"/>
          </w:tcPr>
          <w:p w14:paraId="1143CF09" w14:textId="77777777" w:rsidR="00BC465B" w:rsidRPr="004D1ED1" w:rsidRDefault="00BC465B" w:rsidP="00614611">
            <w:pPr>
              <w:spacing w:before="60"/>
              <w:jc w:val="right"/>
            </w:pPr>
            <w:r w:rsidRPr="004D1ED1">
              <w:t>-1,18</w:t>
            </w:r>
          </w:p>
        </w:tc>
        <w:tc>
          <w:tcPr>
            <w:tcW w:w="976" w:type="dxa"/>
          </w:tcPr>
          <w:p w14:paraId="716A3DB8" w14:textId="77777777" w:rsidR="00BC465B" w:rsidRPr="004D1ED1" w:rsidRDefault="00BC465B" w:rsidP="00614611">
            <w:pPr>
              <w:spacing w:before="60"/>
              <w:jc w:val="right"/>
            </w:pPr>
            <w:r w:rsidRPr="004D1ED1">
              <w:t>3,74</w:t>
            </w:r>
          </w:p>
        </w:tc>
      </w:tr>
    </w:tbl>
    <w:p w14:paraId="4DB1042C" w14:textId="764B0899" w:rsidR="00BC465B" w:rsidRPr="004D1ED1" w:rsidRDefault="00BC465B" w:rsidP="00DE1BB0">
      <w:r w:rsidRPr="004D1ED1">
        <w:t>Z uvedeného vyplýva, že náklady na dopravu realizovanú bicyklom sú o 3,1</w:t>
      </w:r>
      <w:r w:rsidR="00EB1B72">
        <w:t>4</w:t>
      </w:r>
      <w:r w:rsidRPr="004D1ED1">
        <w:t xml:space="preserve"> DKK (0,426 </w:t>
      </w:r>
      <w:r w:rsidR="00EB1B72">
        <w:t>E</w:t>
      </w:r>
      <w:r w:rsidRPr="004D1ED1">
        <w:t xml:space="preserve">ur/km) nižšie ako v prípade auta. </w:t>
      </w:r>
    </w:p>
    <w:p w14:paraId="410BD470" w14:textId="77777777" w:rsidR="00CE0F7B" w:rsidRPr="004D1ED1" w:rsidRDefault="00CE0F7B" w:rsidP="00DE1BB0">
      <w:r w:rsidRPr="004D1ED1">
        <w:br w:type="page"/>
      </w:r>
    </w:p>
    <w:p w14:paraId="3EBACC44" w14:textId="183E9656" w:rsidR="00C9068D" w:rsidRDefault="00C9068D" w:rsidP="00DE1BB0">
      <w:pPr>
        <w:pStyle w:val="Nadpis1"/>
      </w:pPr>
      <w:r w:rsidRPr="004D1ED1">
        <w:lastRenderedPageBreak/>
        <w:t>Analýza dopytu</w:t>
      </w:r>
    </w:p>
    <w:p w14:paraId="3E398A4F" w14:textId="4722FBD6" w:rsidR="002E698F" w:rsidRDefault="002E698F" w:rsidP="002E698F">
      <w:r>
        <w:t>Kľúčovým vstupom do CBA</w:t>
      </w:r>
      <w:r w:rsidRPr="002E698F">
        <w:t xml:space="preserve"> </w:t>
      </w:r>
      <w:r>
        <w:t>je analýza dopytu. Predstavuje zhodnotenie aktuálneho a očakávaného dopytu po dokončení investície</w:t>
      </w:r>
      <w:r w:rsidR="004A7CF4">
        <w:t>.</w:t>
      </w:r>
      <w:r>
        <w:t xml:space="preserve"> Hlavnou otázkou pred CBA je zistiť, aký je potenciálny dopyt pre novú cyklotrasu a očakávaný nárast počtu cyklistov a realizovaných jazdných kilometrov. Dopyt by mal vychádzať z priestorového umiestnenia infraštruktúry v miestach zdrojov a cieľov ciest ako napr. školy, úrady, stanice a zástavky verejnej dopravy a pod. Čím ďalej je infraštruktúra umiestnená od zdroja/cieľa cesty, tým viac potenciál dopytu klesá. </w:t>
      </w:r>
    </w:p>
    <w:p w14:paraId="55622440" w14:textId="77777777" w:rsidR="004A7CF4" w:rsidRDefault="004A7CF4" w:rsidP="004A7CF4">
      <w:r>
        <w:t>Odhad dopytu môže byť založený na aktuálnom dopravnom správaní spoločnosti. Pomocou dotazníkového dopravného prieskumu možno zistiť uskutočnené cesty počas dňa v týždni, vrátane účelu, vzdialenosti, trvania a použitia dopravných prostriedkov.</w:t>
      </w:r>
    </w:p>
    <w:p w14:paraId="16E27CDC" w14:textId="77777777" w:rsidR="004A7CF4" w:rsidRDefault="002E698F" w:rsidP="004A7CF4">
      <w:r>
        <w:t xml:space="preserve">Ideálnym nástrojom pre analýzu dopytu je dopravný model. </w:t>
      </w:r>
      <w:r w:rsidR="004A7CF4">
        <w:t xml:space="preserve">Okrem toho by sa mali využívať dostupné </w:t>
      </w:r>
      <w:proofErr w:type="spellStart"/>
      <w:r w:rsidR="004A7CF4">
        <w:t>mobilitné</w:t>
      </w:r>
      <w:proofErr w:type="spellEnd"/>
      <w:r w:rsidR="004A7CF4">
        <w:t xml:space="preserve"> dáta o dochádzke obyvateľstva (napr. z </w:t>
      </w:r>
      <w:proofErr w:type="spellStart"/>
      <w:r w:rsidR="004A7CF4">
        <w:t>cyklosčítačov</w:t>
      </w:r>
      <w:proofErr w:type="spellEnd"/>
      <w:r w:rsidR="004A7CF4">
        <w:t xml:space="preserve">, dopravného modelovania). Využitie dát o dennej dochádzke obyvateľov je dôležité pre účely plánovania budúcich investícií a využitie týchto dát pre definovanie dopravného potenciálu </w:t>
      </w:r>
      <w:proofErr w:type="spellStart"/>
      <w:r w:rsidR="004A7CF4">
        <w:t>cyklopravnej</w:t>
      </w:r>
      <w:proofErr w:type="spellEnd"/>
      <w:r w:rsidR="004A7CF4">
        <w:t xml:space="preserve"> infraštruktúry. Dáta, ktoré presne opisujú priestorový pohyb obyvateľov v čase, získavané zo zdrojov z prostredia dátových či telekomunikačných spoločností, dokážu vyjadriť presnú intenzitu a vzdialenosť dochádzkových trás obyvateľov a odlíšiť účely pohybu. Syntézou týchto dát a územnoplánovacích materiálov je možné  identifikovať konkrétne úseky potenciálnych cyklotrás ako aj vyjadriť mieru ich výkonnosti vo vzťahu k cieľom nástroja či potenciál realizácie. </w:t>
      </w:r>
    </w:p>
    <w:p w14:paraId="1F3B1520" w14:textId="2057B8B8" w:rsidR="00C9068D" w:rsidRPr="004D1ED1" w:rsidRDefault="00C9068D" w:rsidP="00DE1BB0">
      <w:r w:rsidRPr="004D1ED1">
        <w:t>Z</w:t>
      </w:r>
      <w:r w:rsidR="004A7CF4">
        <w:t> praktického hľadiska, požadovaným výsledkom a</w:t>
      </w:r>
      <w:r w:rsidRPr="004D1ED1">
        <w:t xml:space="preserve">nalýzy dopytu je určenie </w:t>
      </w:r>
      <w:r w:rsidR="004A7CF4">
        <w:t xml:space="preserve">celkového </w:t>
      </w:r>
      <w:r w:rsidRPr="004D1ED1">
        <w:t>počtu ciest užívateľov, ktorí</w:t>
      </w:r>
      <w:r w:rsidR="004A7CF4">
        <w:t> </w:t>
      </w:r>
      <w:r w:rsidRPr="004D1ED1">
        <w:t xml:space="preserve">budú budovanú </w:t>
      </w:r>
      <w:proofErr w:type="spellStart"/>
      <w:r w:rsidRPr="004D1ED1">
        <w:t>cykloinfraštruktúru</w:t>
      </w:r>
      <w:proofErr w:type="spellEnd"/>
      <w:r w:rsidRPr="004D1ED1">
        <w:t xml:space="preserve"> využívať</w:t>
      </w:r>
      <w:r w:rsidR="006C2CF5" w:rsidRPr="004D1ED1">
        <w:t xml:space="preserve">, resp. </w:t>
      </w:r>
      <w:r w:rsidRPr="004D1ED1">
        <w:t xml:space="preserve">dopravných výkonov </w:t>
      </w:r>
      <w:r w:rsidR="006C2CF5" w:rsidRPr="004D1ED1">
        <w:t>v „</w:t>
      </w:r>
      <w:proofErr w:type="spellStart"/>
      <w:r w:rsidR="006C2CF5" w:rsidRPr="004D1ED1">
        <w:t>bicyklokilometroch</w:t>
      </w:r>
      <w:proofErr w:type="spellEnd"/>
      <w:r w:rsidR="006C2CF5" w:rsidRPr="004D1ED1">
        <w:t>“. Tie</w:t>
      </w:r>
      <w:r w:rsidR="004A7CF4">
        <w:t> </w:t>
      </w:r>
      <w:r w:rsidR="006C2CF5" w:rsidRPr="004D1ED1">
        <w:t xml:space="preserve">potom môžeme za využitia pomerne jednoduchých predpokladov previesť na výkony vo </w:t>
      </w:r>
      <w:proofErr w:type="spellStart"/>
      <w:r w:rsidR="006C2CF5" w:rsidRPr="004D1ED1">
        <w:t>vozokilometroch</w:t>
      </w:r>
      <w:proofErr w:type="spellEnd"/>
      <w:r w:rsidR="006C2CF5" w:rsidRPr="004D1ED1">
        <w:t xml:space="preserve"> </w:t>
      </w:r>
      <w:r w:rsidRPr="004D1ED1">
        <w:t>(motorovej, najmä individuálnej automobilovej dopravy), ktoré tieto cesty</w:t>
      </w:r>
      <w:r w:rsidR="006C2CF5" w:rsidRPr="004D1ED1">
        <w:t xml:space="preserve"> nahrádzajú a stanoviť tak celospoločenské benefity, ktoré daný </w:t>
      </w:r>
      <w:proofErr w:type="spellStart"/>
      <w:r w:rsidR="006C2CF5" w:rsidRPr="004D1ED1">
        <w:t>cykloprojekt</w:t>
      </w:r>
      <w:proofErr w:type="spellEnd"/>
      <w:r w:rsidR="006C2CF5" w:rsidRPr="004D1ED1">
        <w:t xml:space="preserve"> prináša.</w:t>
      </w:r>
    </w:p>
    <w:p w14:paraId="38A62246" w14:textId="2760C9AA" w:rsidR="00C9068D" w:rsidRPr="004D1ED1" w:rsidRDefault="00C9068D" w:rsidP="00DE1BB0">
      <w:r w:rsidRPr="004D1ED1">
        <w:t xml:space="preserve">Pre stanovenie </w:t>
      </w:r>
      <w:r w:rsidR="006C2CF5" w:rsidRPr="004D1ED1">
        <w:t>vstupných údajov o dopyte</w:t>
      </w:r>
      <w:r w:rsidRPr="004D1ED1">
        <w:t xml:space="preserve"> sú v zásade </w:t>
      </w:r>
      <w:r w:rsidRPr="003F7AE0">
        <w:t>možné</w:t>
      </w:r>
      <w:r w:rsidRPr="004D1ED1">
        <w:t xml:space="preserve"> dv</w:t>
      </w:r>
      <w:r w:rsidR="00B0024C" w:rsidRPr="004D1ED1">
        <w:t>e</w:t>
      </w:r>
      <w:r w:rsidRPr="004D1ED1">
        <w:t xml:space="preserve"> </w:t>
      </w:r>
      <w:r w:rsidR="00B0024C" w:rsidRPr="004D1ED1">
        <w:t>metódy</w:t>
      </w:r>
      <w:r w:rsidR="006C2CF5" w:rsidRPr="004D1ED1">
        <w:t>:</w:t>
      </w:r>
    </w:p>
    <w:p w14:paraId="587DB35E" w14:textId="77777777" w:rsidR="006C2CF5" w:rsidRPr="004D1ED1" w:rsidRDefault="006C2CF5" w:rsidP="00E440CE">
      <w:pPr>
        <w:pStyle w:val="Odsekzoznamu"/>
        <w:numPr>
          <w:ilvl w:val="0"/>
          <w:numId w:val="2"/>
        </w:numPr>
        <w:jc w:val="left"/>
      </w:pPr>
      <w:r w:rsidRPr="004D1ED1">
        <w:rPr>
          <w:u w:val="single"/>
        </w:rPr>
        <w:t xml:space="preserve">Preukázanie skutočného využívania </w:t>
      </w:r>
      <w:r w:rsidR="00B0024C" w:rsidRPr="004D1ED1">
        <w:rPr>
          <w:u w:val="single"/>
        </w:rPr>
        <w:br/>
      </w:r>
      <w:r w:rsidR="00B0024C" w:rsidRPr="004D1ED1">
        <w:t>táto metóda je pomerne jednoduchá, ale možné ju je využiť iba v prípade, že existujú údaje o počte cyklistov, ktorí jazdia v koridore plánovanej infraštruktúry v súčasnosti.</w:t>
      </w:r>
    </w:p>
    <w:p w14:paraId="4EDC1EE4" w14:textId="6CC2B8FF" w:rsidR="00551C70" w:rsidRPr="00B50CA1" w:rsidRDefault="006C2CF5" w:rsidP="00E440CE">
      <w:pPr>
        <w:pStyle w:val="Odsekzoznamu"/>
        <w:numPr>
          <w:ilvl w:val="0"/>
          <w:numId w:val="2"/>
        </w:numPr>
        <w:jc w:val="left"/>
        <w:rPr>
          <w:u w:val="single"/>
        </w:rPr>
      </w:pPr>
      <w:r w:rsidRPr="004D1ED1">
        <w:rPr>
          <w:u w:val="single"/>
        </w:rPr>
        <w:t>Odhad potenciálu zjednodušeným modelom</w:t>
      </w:r>
      <w:r w:rsidR="00B0024C" w:rsidRPr="004D1ED1">
        <w:rPr>
          <w:u w:val="single"/>
        </w:rPr>
        <w:br/>
      </w:r>
      <w:r w:rsidR="00B0024C" w:rsidRPr="004D1ED1">
        <w:t>táto metóda je zložitejšia, ale je možné ju využiť aj v prípadoch, keď vstupné dáta do metódy A nie sú k dispozícii, resp. je nemožné v súčasnosti využívať koridor plánovanej infraštruktúry (napr. kvôli prírodnej prekážke).</w:t>
      </w:r>
    </w:p>
    <w:p w14:paraId="479341FD" w14:textId="7C366C0D" w:rsidR="00C9068D" w:rsidRPr="004D1ED1" w:rsidRDefault="00551C70" w:rsidP="004A7CF4">
      <w:pPr>
        <w:pStyle w:val="Nadpis2"/>
        <w:spacing w:before="240"/>
        <w:ind w:left="425" w:hanging="431"/>
      </w:pPr>
      <w:r>
        <w:t xml:space="preserve">Metóda A: </w:t>
      </w:r>
      <w:r w:rsidR="00C9068D" w:rsidRPr="004D1ED1">
        <w:t xml:space="preserve">Preukázanie skutočného využívania </w:t>
      </w:r>
    </w:p>
    <w:p w14:paraId="77575F9F" w14:textId="77777777" w:rsidR="006C2CF5" w:rsidRPr="004D1ED1" w:rsidRDefault="00C9068D" w:rsidP="00DE1BB0">
      <w:r w:rsidRPr="004D1ED1">
        <w:t xml:space="preserve">Preukázanie skutočného využívania cyklistickej infraštruktúry, ktorá je predmetom projektu je možné použiť výstupy z dlhodobých kontinuálnych alebo viacnásobne </w:t>
      </w:r>
      <w:r w:rsidR="00F16364" w:rsidRPr="004D1ED1">
        <w:t xml:space="preserve">sa </w:t>
      </w:r>
      <w:r w:rsidRPr="004D1ED1">
        <w:t xml:space="preserve">opakujúcich prieskumov a sledovaní. </w:t>
      </w:r>
      <w:r w:rsidR="00F16364" w:rsidRPr="004D1ED1">
        <w:t>Jednorazové krátkodobé prieskumy sa za preukazné nepovažujú z dôvodu ich veľkého skreslenia. Vhodné o</w:t>
      </w:r>
      <w:r w:rsidRPr="004D1ED1">
        <w:t xml:space="preserve">rientačné údaje je možné získať </w:t>
      </w:r>
      <w:r w:rsidR="00F16364" w:rsidRPr="004D1ED1">
        <w:t xml:space="preserve">napr. </w:t>
      </w:r>
      <w:r w:rsidRPr="004D1ED1">
        <w:t xml:space="preserve">od prevádzkovateľov požičovní bicyklov / kolobežiek alebo zo štatistík kampane „Do práce na bicykli“. Tieto údaje samozrejme nepokrývajú celý skutočný dopyt, indikujú ale dobrú predstavu o zaťažení v porovnaní s inými konkurenčnými koridormi. </w:t>
      </w:r>
    </w:p>
    <w:p w14:paraId="6DFC595C" w14:textId="77777777" w:rsidR="006C2CF5" w:rsidRPr="004D1ED1" w:rsidRDefault="001C3645" w:rsidP="00DE1BB0">
      <w:r w:rsidRPr="004D1ED1">
        <w:t>Zaujíma nás v prvom rade intenzita cyklistickej dopravy na základnom profile</w:t>
      </w:r>
      <w:r w:rsidR="00F16364" w:rsidRPr="004D1ED1">
        <w:t>. Základným profilom sa v prípade metódy A rozumie</w:t>
      </w:r>
      <w:r w:rsidRPr="004D1ED1">
        <w:t xml:space="preserve"> </w:t>
      </w:r>
      <w:r w:rsidR="00F16364" w:rsidRPr="004D1ED1">
        <w:t xml:space="preserve">najzaťaženejší profil na plánovanej trase. </w:t>
      </w:r>
      <w:r w:rsidR="006C2CF5" w:rsidRPr="004D1ED1">
        <w:t xml:space="preserve">V odôvodnených prípadoch je možné uvažovať s agregáciou </w:t>
      </w:r>
      <w:r w:rsidR="00F16364" w:rsidRPr="004D1ED1">
        <w:t>intenzít</w:t>
      </w:r>
      <w:r w:rsidR="006C2CF5" w:rsidRPr="004D1ED1">
        <w:t xml:space="preserve"> aj z bezprostredne priľahlých paralelných ulíc.</w:t>
      </w:r>
    </w:p>
    <w:p w14:paraId="04FD0F58" w14:textId="467F940E" w:rsidR="006918C6" w:rsidRPr="004D1ED1" w:rsidRDefault="006918C6" w:rsidP="00DE1BB0">
      <w:r w:rsidRPr="004D1ED1">
        <w:lastRenderedPageBreak/>
        <w:t>Okrem intenzity cyklistov je potrebné od poskytovateľa dát získať tiež údaj o priemernej dĺžke ciest cyklistov na danom profile</w:t>
      </w:r>
      <w:r w:rsidR="00A74CA3" w:rsidRPr="004D1ED1">
        <w:t>.</w:t>
      </w:r>
    </w:p>
    <w:p w14:paraId="7B424C40" w14:textId="77777777" w:rsidR="003F1AAA" w:rsidRPr="004D1ED1" w:rsidRDefault="003F1AAA" w:rsidP="00DE1BB0">
      <w:r w:rsidRPr="004D1ED1">
        <w:t>Pre výpočet CBA sú v princípe potrebné celoročné dáta. V prípade, že sú dostupné údaje len za určité obdobie v roku, je potrebné tieto konvertovať na celoročné priemery v zmysle nasledovnej tabuľky:</w:t>
      </w:r>
    </w:p>
    <w:p w14:paraId="397436AD" w14:textId="77777777" w:rsidR="00B0024C" w:rsidRPr="00492426" w:rsidRDefault="00B0024C" w:rsidP="00DE1BB0">
      <w:pPr>
        <w:rPr>
          <w:rStyle w:val="Intenzvnezvraznenie"/>
          <w:sz w:val="20"/>
          <w:szCs w:val="20"/>
        </w:rPr>
      </w:pPr>
      <w:r w:rsidRPr="00492426">
        <w:rPr>
          <w:rStyle w:val="Intenzvnezvraznenie"/>
          <w:sz w:val="20"/>
          <w:szCs w:val="20"/>
        </w:rPr>
        <w:t xml:space="preserve">Tab. 1 </w:t>
      </w:r>
      <w:r w:rsidR="00B8171F" w:rsidRPr="00492426">
        <w:rPr>
          <w:rStyle w:val="Intenzvnezvraznenie"/>
          <w:sz w:val="20"/>
          <w:szCs w:val="20"/>
        </w:rPr>
        <w:t>Odporúčané variácie počtu cyklistov podľa mesiacov roka</w:t>
      </w:r>
    </w:p>
    <w:tbl>
      <w:tblPr>
        <w:tblStyle w:val="Mriekatabuky"/>
        <w:tblW w:w="9126" w:type="dxa"/>
        <w:tblLayout w:type="fixed"/>
        <w:tblCellMar>
          <w:left w:w="85" w:type="dxa"/>
          <w:right w:w="85" w:type="dxa"/>
        </w:tblCellMar>
        <w:tblLook w:val="04A0" w:firstRow="1" w:lastRow="0" w:firstColumn="1" w:lastColumn="0" w:noHBand="0" w:noVBand="1"/>
      </w:tblPr>
      <w:tblGrid>
        <w:gridCol w:w="1271"/>
        <w:gridCol w:w="654"/>
        <w:gridCol w:w="655"/>
        <w:gridCol w:w="654"/>
        <w:gridCol w:w="655"/>
        <w:gridCol w:w="654"/>
        <w:gridCol w:w="655"/>
        <w:gridCol w:w="655"/>
        <w:gridCol w:w="654"/>
        <w:gridCol w:w="655"/>
        <w:gridCol w:w="654"/>
        <w:gridCol w:w="655"/>
        <w:gridCol w:w="655"/>
      </w:tblGrid>
      <w:tr w:rsidR="006918C6" w:rsidRPr="004D1ED1" w14:paraId="0A681F15" w14:textId="77777777" w:rsidTr="006918C6">
        <w:tc>
          <w:tcPr>
            <w:tcW w:w="1271" w:type="dxa"/>
          </w:tcPr>
          <w:p w14:paraId="3A625567" w14:textId="77777777" w:rsidR="003F1AAA" w:rsidRPr="004D1ED1" w:rsidRDefault="003F1AAA" w:rsidP="00492426">
            <w:pPr>
              <w:pStyle w:val="Bezriadkovania"/>
            </w:pPr>
            <w:r w:rsidRPr="004D1ED1">
              <w:t>mesiac</w:t>
            </w:r>
          </w:p>
        </w:tc>
        <w:tc>
          <w:tcPr>
            <w:tcW w:w="654" w:type="dxa"/>
          </w:tcPr>
          <w:p w14:paraId="69731FFD" w14:textId="77777777" w:rsidR="003F1AAA" w:rsidRPr="004D1ED1" w:rsidRDefault="003F1AAA" w:rsidP="00492426">
            <w:pPr>
              <w:pStyle w:val="Bezriadkovania"/>
            </w:pPr>
            <w:proofErr w:type="spellStart"/>
            <w:r w:rsidRPr="004D1ED1">
              <w:t>jan</w:t>
            </w:r>
            <w:proofErr w:type="spellEnd"/>
          </w:p>
        </w:tc>
        <w:tc>
          <w:tcPr>
            <w:tcW w:w="655" w:type="dxa"/>
          </w:tcPr>
          <w:p w14:paraId="009F295F" w14:textId="77777777" w:rsidR="003F1AAA" w:rsidRPr="004D1ED1" w:rsidRDefault="003F1AAA" w:rsidP="00492426">
            <w:pPr>
              <w:pStyle w:val="Bezriadkovania"/>
            </w:pPr>
            <w:proofErr w:type="spellStart"/>
            <w:r w:rsidRPr="004D1ED1">
              <w:t>feb</w:t>
            </w:r>
            <w:proofErr w:type="spellEnd"/>
          </w:p>
        </w:tc>
        <w:tc>
          <w:tcPr>
            <w:tcW w:w="654" w:type="dxa"/>
          </w:tcPr>
          <w:p w14:paraId="7502C9AC" w14:textId="77777777" w:rsidR="003F1AAA" w:rsidRPr="004D1ED1" w:rsidRDefault="003F1AAA" w:rsidP="00492426">
            <w:pPr>
              <w:pStyle w:val="Bezriadkovania"/>
            </w:pPr>
            <w:r w:rsidRPr="004D1ED1">
              <w:t>mar</w:t>
            </w:r>
          </w:p>
        </w:tc>
        <w:tc>
          <w:tcPr>
            <w:tcW w:w="655" w:type="dxa"/>
          </w:tcPr>
          <w:p w14:paraId="06FFB31D" w14:textId="77777777" w:rsidR="003F1AAA" w:rsidRPr="004D1ED1" w:rsidRDefault="003F1AAA" w:rsidP="00492426">
            <w:pPr>
              <w:pStyle w:val="Bezriadkovania"/>
            </w:pPr>
            <w:proofErr w:type="spellStart"/>
            <w:r w:rsidRPr="004D1ED1">
              <w:t>apr</w:t>
            </w:r>
            <w:proofErr w:type="spellEnd"/>
          </w:p>
        </w:tc>
        <w:tc>
          <w:tcPr>
            <w:tcW w:w="654" w:type="dxa"/>
          </w:tcPr>
          <w:p w14:paraId="1A8726A5" w14:textId="77777777" w:rsidR="003F1AAA" w:rsidRPr="004D1ED1" w:rsidRDefault="003F1AAA" w:rsidP="00492426">
            <w:pPr>
              <w:pStyle w:val="Bezriadkovania"/>
            </w:pPr>
            <w:r w:rsidRPr="004D1ED1">
              <w:t>máj</w:t>
            </w:r>
          </w:p>
        </w:tc>
        <w:tc>
          <w:tcPr>
            <w:tcW w:w="655" w:type="dxa"/>
          </w:tcPr>
          <w:p w14:paraId="4DE249E1" w14:textId="77777777" w:rsidR="003F1AAA" w:rsidRPr="004D1ED1" w:rsidRDefault="003F1AAA" w:rsidP="00492426">
            <w:pPr>
              <w:pStyle w:val="Bezriadkovania"/>
            </w:pPr>
            <w:r w:rsidRPr="004D1ED1">
              <w:t>jún</w:t>
            </w:r>
          </w:p>
        </w:tc>
        <w:tc>
          <w:tcPr>
            <w:tcW w:w="655" w:type="dxa"/>
          </w:tcPr>
          <w:p w14:paraId="7D391094" w14:textId="77777777" w:rsidR="003F1AAA" w:rsidRPr="004D1ED1" w:rsidRDefault="003F1AAA" w:rsidP="00492426">
            <w:pPr>
              <w:pStyle w:val="Bezriadkovania"/>
            </w:pPr>
            <w:r w:rsidRPr="004D1ED1">
              <w:t>júl</w:t>
            </w:r>
          </w:p>
        </w:tc>
        <w:tc>
          <w:tcPr>
            <w:tcW w:w="654" w:type="dxa"/>
          </w:tcPr>
          <w:p w14:paraId="113E07C9" w14:textId="77777777" w:rsidR="003F1AAA" w:rsidRPr="004D1ED1" w:rsidRDefault="003F1AAA" w:rsidP="00492426">
            <w:pPr>
              <w:pStyle w:val="Bezriadkovania"/>
            </w:pPr>
            <w:proofErr w:type="spellStart"/>
            <w:r w:rsidRPr="004D1ED1">
              <w:t>aug</w:t>
            </w:r>
            <w:proofErr w:type="spellEnd"/>
          </w:p>
        </w:tc>
        <w:tc>
          <w:tcPr>
            <w:tcW w:w="655" w:type="dxa"/>
          </w:tcPr>
          <w:p w14:paraId="13BD73FA" w14:textId="77777777" w:rsidR="003F1AAA" w:rsidRPr="004D1ED1" w:rsidRDefault="003F1AAA" w:rsidP="00492426">
            <w:pPr>
              <w:pStyle w:val="Bezriadkovania"/>
            </w:pPr>
            <w:proofErr w:type="spellStart"/>
            <w:r w:rsidRPr="004D1ED1">
              <w:t>sep</w:t>
            </w:r>
            <w:proofErr w:type="spellEnd"/>
          </w:p>
        </w:tc>
        <w:tc>
          <w:tcPr>
            <w:tcW w:w="654" w:type="dxa"/>
          </w:tcPr>
          <w:p w14:paraId="6616FC02" w14:textId="77777777" w:rsidR="003F1AAA" w:rsidRPr="004D1ED1" w:rsidRDefault="003F1AAA" w:rsidP="00492426">
            <w:pPr>
              <w:pStyle w:val="Bezriadkovania"/>
            </w:pPr>
            <w:proofErr w:type="spellStart"/>
            <w:r w:rsidRPr="004D1ED1">
              <w:t>okt</w:t>
            </w:r>
            <w:proofErr w:type="spellEnd"/>
          </w:p>
        </w:tc>
        <w:tc>
          <w:tcPr>
            <w:tcW w:w="655" w:type="dxa"/>
          </w:tcPr>
          <w:p w14:paraId="1ACECFCA" w14:textId="77777777" w:rsidR="003F1AAA" w:rsidRPr="004D1ED1" w:rsidRDefault="003F1AAA" w:rsidP="00492426">
            <w:pPr>
              <w:pStyle w:val="Bezriadkovania"/>
            </w:pPr>
            <w:r w:rsidRPr="004D1ED1">
              <w:t>nov</w:t>
            </w:r>
          </w:p>
        </w:tc>
        <w:tc>
          <w:tcPr>
            <w:tcW w:w="655" w:type="dxa"/>
          </w:tcPr>
          <w:p w14:paraId="0B0643EA" w14:textId="77777777" w:rsidR="003F1AAA" w:rsidRPr="004D1ED1" w:rsidRDefault="003F1AAA" w:rsidP="00492426">
            <w:pPr>
              <w:pStyle w:val="Bezriadkovania"/>
            </w:pPr>
            <w:proofErr w:type="spellStart"/>
            <w:r w:rsidRPr="004D1ED1">
              <w:t>dec</w:t>
            </w:r>
            <w:proofErr w:type="spellEnd"/>
          </w:p>
        </w:tc>
      </w:tr>
      <w:tr w:rsidR="006918C6" w:rsidRPr="004D1ED1" w14:paraId="4F003988" w14:textId="77777777" w:rsidTr="006918C6">
        <w:tc>
          <w:tcPr>
            <w:tcW w:w="1271" w:type="dxa"/>
          </w:tcPr>
          <w:p w14:paraId="577D2F83" w14:textId="1A70D10F" w:rsidR="003F1AAA" w:rsidRPr="004D1ED1" w:rsidRDefault="003F5510" w:rsidP="00492426">
            <w:pPr>
              <w:pStyle w:val="Bezriadkovania"/>
            </w:pPr>
            <w:r w:rsidRPr="004D1ED1">
              <w:t>p</w:t>
            </w:r>
            <w:r w:rsidR="003F1AAA" w:rsidRPr="004D1ED1">
              <w:t>odiel</w:t>
            </w:r>
            <w:r w:rsidRPr="004D1ED1">
              <w:t xml:space="preserve"> %</w:t>
            </w:r>
          </w:p>
        </w:tc>
        <w:tc>
          <w:tcPr>
            <w:tcW w:w="654" w:type="dxa"/>
          </w:tcPr>
          <w:p w14:paraId="789487FB" w14:textId="77777777" w:rsidR="003F1AAA" w:rsidRPr="004D1ED1" w:rsidRDefault="003F1AAA" w:rsidP="00492426">
            <w:pPr>
              <w:pStyle w:val="Bezriadkovania"/>
            </w:pPr>
          </w:p>
        </w:tc>
        <w:tc>
          <w:tcPr>
            <w:tcW w:w="655" w:type="dxa"/>
          </w:tcPr>
          <w:p w14:paraId="7531AEC0" w14:textId="77777777" w:rsidR="003F1AAA" w:rsidRPr="004D1ED1" w:rsidRDefault="003F1AAA" w:rsidP="00492426">
            <w:pPr>
              <w:pStyle w:val="Bezriadkovania"/>
            </w:pPr>
          </w:p>
        </w:tc>
        <w:tc>
          <w:tcPr>
            <w:tcW w:w="654" w:type="dxa"/>
          </w:tcPr>
          <w:p w14:paraId="0E0A04A6" w14:textId="77777777" w:rsidR="003F1AAA" w:rsidRPr="004D1ED1" w:rsidRDefault="003F1AAA" w:rsidP="00492426">
            <w:pPr>
              <w:pStyle w:val="Bezriadkovania"/>
            </w:pPr>
          </w:p>
        </w:tc>
        <w:tc>
          <w:tcPr>
            <w:tcW w:w="655" w:type="dxa"/>
          </w:tcPr>
          <w:p w14:paraId="31610263" w14:textId="77777777" w:rsidR="003F1AAA" w:rsidRPr="004D1ED1" w:rsidRDefault="003F1AAA" w:rsidP="00492426">
            <w:pPr>
              <w:pStyle w:val="Bezriadkovania"/>
            </w:pPr>
          </w:p>
        </w:tc>
        <w:tc>
          <w:tcPr>
            <w:tcW w:w="654" w:type="dxa"/>
          </w:tcPr>
          <w:p w14:paraId="71A55EA3" w14:textId="77777777" w:rsidR="003F1AAA" w:rsidRPr="004D1ED1" w:rsidRDefault="003F1AAA" w:rsidP="00492426">
            <w:pPr>
              <w:pStyle w:val="Bezriadkovania"/>
            </w:pPr>
          </w:p>
        </w:tc>
        <w:tc>
          <w:tcPr>
            <w:tcW w:w="655" w:type="dxa"/>
          </w:tcPr>
          <w:p w14:paraId="702C88C6" w14:textId="77777777" w:rsidR="003F1AAA" w:rsidRPr="004D1ED1" w:rsidRDefault="006918C6" w:rsidP="00492426">
            <w:pPr>
              <w:pStyle w:val="Bezriadkovania"/>
            </w:pPr>
            <w:r w:rsidRPr="004D1ED1">
              <w:t>12%</w:t>
            </w:r>
          </w:p>
        </w:tc>
        <w:tc>
          <w:tcPr>
            <w:tcW w:w="655" w:type="dxa"/>
          </w:tcPr>
          <w:p w14:paraId="778813FB" w14:textId="77777777" w:rsidR="003F1AAA" w:rsidRPr="004D1ED1" w:rsidRDefault="003F1AAA" w:rsidP="00492426">
            <w:pPr>
              <w:pStyle w:val="Bezriadkovania"/>
            </w:pPr>
          </w:p>
        </w:tc>
        <w:tc>
          <w:tcPr>
            <w:tcW w:w="654" w:type="dxa"/>
          </w:tcPr>
          <w:p w14:paraId="3A736E5C" w14:textId="77777777" w:rsidR="003F1AAA" w:rsidRPr="004D1ED1" w:rsidRDefault="003F1AAA" w:rsidP="00492426">
            <w:pPr>
              <w:pStyle w:val="Bezriadkovania"/>
            </w:pPr>
          </w:p>
        </w:tc>
        <w:tc>
          <w:tcPr>
            <w:tcW w:w="655" w:type="dxa"/>
          </w:tcPr>
          <w:p w14:paraId="795D81BB" w14:textId="77777777" w:rsidR="003F1AAA" w:rsidRPr="004D1ED1" w:rsidRDefault="003F1AAA" w:rsidP="00492426">
            <w:pPr>
              <w:pStyle w:val="Bezriadkovania"/>
            </w:pPr>
          </w:p>
        </w:tc>
        <w:tc>
          <w:tcPr>
            <w:tcW w:w="654" w:type="dxa"/>
          </w:tcPr>
          <w:p w14:paraId="1346D9A0" w14:textId="77777777" w:rsidR="003F1AAA" w:rsidRPr="004D1ED1" w:rsidRDefault="003F1AAA" w:rsidP="00492426">
            <w:pPr>
              <w:pStyle w:val="Bezriadkovania"/>
            </w:pPr>
          </w:p>
        </w:tc>
        <w:tc>
          <w:tcPr>
            <w:tcW w:w="655" w:type="dxa"/>
          </w:tcPr>
          <w:p w14:paraId="201777D0" w14:textId="77777777" w:rsidR="003F1AAA" w:rsidRPr="004D1ED1" w:rsidRDefault="003F1AAA" w:rsidP="00492426">
            <w:pPr>
              <w:pStyle w:val="Bezriadkovania"/>
            </w:pPr>
          </w:p>
        </w:tc>
        <w:tc>
          <w:tcPr>
            <w:tcW w:w="655" w:type="dxa"/>
          </w:tcPr>
          <w:p w14:paraId="3F5C323E" w14:textId="77777777" w:rsidR="003F1AAA" w:rsidRPr="004D1ED1" w:rsidRDefault="003F1AAA" w:rsidP="00492426">
            <w:pPr>
              <w:pStyle w:val="Bezriadkovania"/>
            </w:pPr>
          </w:p>
        </w:tc>
      </w:tr>
      <w:tr w:rsidR="006918C6" w:rsidRPr="004D1ED1" w14:paraId="647105D6" w14:textId="77777777" w:rsidTr="006918C6">
        <w:tc>
          <w:tcPr>
            <w:tcW w:w="1271" w:type="dxa"/>
          </w:tcPr>
          <w:p w14:paraId="56ABFB69" w14:textId="77777777" w:rsidR="003F1AAA" w:rsidRPr="004D1ED1" w:rsidRDefault="006918C6" w:rsidP="00492426">
            <w:pPr>
              <w:pStyle w:val="Bezriadkovania"/>
            </w:pPr>
            <w:r w:rsidRPr="004D1ED1">
              <w:t xml:space="preserve">x </w:t>
            </w:r>
            <w:r w:rsidR="003F1AAA" w:rsidRPr="004D1ED1">
              <w:t>koeficient</w:t>
            </w:r>
          </w:p>
        </w:tc>
        <w:tc>
          <w:tcPr>
            <w:tcW w:w="654" w:type="dxa"/>
          </w:tcPr>
          <w:p w14:paraId="1ED8BF4B" w14:textId="77777777" w:rsidR="003F1AAA" w:rsidRPr="004D1ED1" w:rsidRDefault="003F1AAA" w:rsidP="00492426">
            <w:pPr>
              <w:pStyle w:val="Bezriadkovania"/>
            </w:pPr>
          </w:p>
        </w:tc>
        <w:tc>
          <w:tcPr>
            <w:tcW w:w="655" w:type="dxa"/>
          </w:tcPr>
          <w:p w14:paraId="7C2F530B" w14:textId="77777777" w:rsidR="003F1AAA" w:rsidRPr="004D1ED1" w:rsidRDefault="003F1AAA" w:rsidP="00492426">
            <w:pPr>
              <w:pStyle w:val="Bezriadkovania"/>
            </w:pPr>
          </w:p>
        </w:tc>
        <w:tc>
          <w:tcPr>
            <w:tcW w:w="654" w:type="dxa"/>
          </w:tcPr>
          <w:p w14:paraId="3E91D30B" w14:textId="77777777" w:rsidR="003F1AAA" w:rsidRPr="004D1ED1" w:rsidRDefault="003F1AAA" w:rsidP="00492426">
            <w:pPr>
              <w:pStyle w:val="Bezriadkovania"/>
            </w:pPr>
          </w:p>
        </w:tc>
        <w:tc>
          <w:tcPr>
            <w:tcW w:w="655" w:type="dxa"/>
          </w:tcPr>
          <w:p w14:paraId="7B5A252F" w14:textId="77777777" w:rsidR="003F1AAA" w:rsidRPr="004D1ED1" w:rsidRDefault="003F1AAA" w:rsidP="00492426">
            <w:pPr>
              <w:pStyle w:val="Bezriadkovania"/>
            </w:pPr>
          </w:p>
        </w:tc>
        <w:tc>
          <w:tcPr>
            <w:tcW w:w="654" w:type="dxa"/>
          </w:tcPr>
          <w:p w14:paraId="4C517442" w14:textId="77777777" w:rsidR="003F1AAA" w:rsidRPr="004D1ED1" w:rsidRDefault="003F1AAA" w:rsidP="00492426">
            <w:pPr>
              <w:pStyle w:val="Bezriadkovania"/>
            </w:pPr>
          </w:p>
        </w:tc>
        <w:tc>
          <w:tcPr>
            <w:tcW w:w="655" w:type="dxa"/>
          </w:tcPr>
          <w:p w14:paraId="6BE5EF4D" w14:textId="77777777" w:rsidR="003F1AAA" w:rsidRPr="004D1ED1" w:rsidRDefault="006918C6" w:rsidP="00492426">
            <w:pPr>
              <w:pStyle w:val="Bezriadkovania"/>
            </w:pPr>
            <w:r w:rsidRPr="004D1ED1">
              <w:t>8,333</w:t>
            </w:r>
          </w:p>
        </w:tc>
        <w:tc>
          <w:tcPr>
            <w:tcW w:w="655" w:type="dxa"/>
          </w:tcPr>
          <w:p w14:paraId="6F1A4951" w14:textId="77777777" w:rsidR="003F1AAA" w:rsidRPr="004D1ED1" w:rsidRDefault="003F1AAA" w:rsidP="00492426">
            <w:pPr>
              <w:pStyle w:val="Bezriadkovania"/>
            </w:pPr>
          </w:p>
        </w:tc>
        <w:tc>
          <w:tcPr>
            <w:tcW w:w="654" w:type="dxa"/>
          </w:tcPr>
          <w:p w14:paraId="5E7B9B70" w14:textId="77777777" w:rsidR="003F1AAA" w:rsidRPr="004D1ED1" w:rsidRDefault="003F1AAA" w:rsidP="00492426">
            <w:pPr>
              <w:pStyle w:val="Bezriadkovania"/>
            </w:pPr>
          </w:p>
        </w:tc>
        <w:tc>
          <w:tcPr>
            <w:tcW w:w="655" w:type="dxa"/>
          </w:tcPr>
          <w:p w14:paraId="470710FF" w14:textId="77777777" w:rsidR="003F1AAA" w:rsidRPr="004D1ED1" w:rsidRDefault="003F1AAA" w:rsidP="00492426">
            <w:pPr>
              <w:pStyle w:val="Bezriadkovania"/>
            </w:pPr>
          </w:p>
        </w:tc>
        <w:tc>
          <w:tcPr>
            <w:tcW w:w="654" w:type="dxa"/>
          </w:tcPr>
          <w:p w14:paraId="7523E365" w14:textId="77777777" w:rsidR="003F1AAA" w:rsidRPr="004D1ED1" w:rsidRDefault="003F1AAA" w:rsidP="00492426">
            <w:pPr>
              <w:pStyle w:val="Bezriadkovania"/>
            </w:pPr>
          </w:p>
        </w:tc>
        <w:tc>
          <w:tcPr>
            <w:tcW w:w="655" w:type="dxa"/>
          </w:tcPr>
          <w:p w14:paraId="7CD794F2" w14:textId="77777777" w:rsidR="003F1AAA" w:rsidRPr="004D1ED1" w:rsidRDefault="003F1AAA" w:rsidP="00492426">
            <w:pPr>
              <w:pStyle w:val="Bezriadkovania"/>
            </w:pPr>
          </w:p>
        </w:tc>
        <w:tc>
          <w:tcPr>
            <w:tcW w:w="655" w:type="dxa"/>
          </w:tcPr>
          <w:p w14:paraId="757A0079" w14:textId="77777777" w:rsidR="003F1AAA" w:rsidRPr="004D1ED1" w:rsidRDefault="003F1AAA" w:rsidP="00492426">
            <w:pPr>
              <w:pStyle w:val="Bezriadkovania"/>
            </w:pPr>
          </w:p>
        </w:tc>
      </w:tr>
    </w:tbl>
    <w:p w14:paraId="5EF9C186" w14:textId="77777777" w:rsidR="00B8171F" w:rsidRPr="00B50CA1" w:rsidRDefault="00B8171F" w:rsidP="00B50CA1">
      <w:pPr>
        <w:pStyle w:val="Citcia"/>
        <w:rPr>
          <w:szCs w:val="18"/>
        </w:rPr>
      </w:pPr>
      <w:r w:rsidRPr="00B50CA1">
        <w:rPr>
          <w:szCs w:val="18"/>
        </w:rPr>
        <w:t xml:space="preserve">Zdroj: vlastné vyhodnotené z automatických </w:t>
      </w:r>
      <w:proofErr w:type="spellStart"/>
      <w:r w:rsidRPr="00B50CA1">
        <w:rPr>
          <w:szCs w:val="18"/>
        </w:rPr>
        <w:t>sčítačov</w:t>
      </w:r>
      <w:proofErr w:type="spellEnd"/>
      <w:r w:rsidRPr="00B50CA1">
        <w:rPr>
          <w:szCs w:val="18"/>
        </w:rPr>
        <w:t xml:space="preserve"> cyklistickej dopravy v Bratislave </w:t>
      </w:r>
    </w:p>
    <w:p w14:paraId="2E822944" w14:textId="05548D2B" w:rsidR="006C2CF5" w:rsidRDefault="003F1AAA" w:rsidP="00B50CA1">
      <w:pPr>
        <w:pStyle w:val="Poznmka"/>
      </w:pPr>
      <w:r w:rsidRPr="004D1ED1">
        <w:rPr>
          <w:u w:val="single"/>
        </w:rPr>
        <w:t>Príklad:</w:t>
      </w:r>
      <w:r w:rsidRPr="004D1ED1">
        <w:t xml:space="preserve"> K dispozícii je na </w:t>
      </w:r>
      <w:r w:rsidR="00A74CA3" w:rsidRPr="004D1ED1">
        <w:t xml:space="preserve">najzaťaženejšom </w:t>
      </w:r>
      <w:r w:rsidRPr="004D1ED1">
        <w:t xml:space="preserve">profile v danom koridore nameraný údaj </w:t>
      </w:r>
      <w:r w:rsidR="00A74CA3" w:rsidRPr="004D1ED1">
        <w:t xml:space="preserve">v rámci </w:t>
      </w:r>
      <w:r w:rsidRPr="004D1ED1">
        <w:t xml:space="preserve">kampane „Do práce na bicykli“ </w:t>
      </w:r>
      <w:r w:rsidR="006918C6" w:rsidRPr="004D1ED1">
        <w:t xml:space="preserve">240 cyklistov </w:t>
      </w:r>
      <w:r w:rsidRPr="004D1ED1">
        <w:t xml:space="preserve">za 5 pracovných dní v júni. </w:t>
      </w:r>
      <w:r w:rsidR="006918C6" w:rsidRPr="004D1ED1">
        <w:t xml:space="preserve">Prepočtom </w:t>
      </w:r>
      <w:r w:rsidR="00A74CA3" w:rsidRPr="004D1ED1">
        <w:t xml:space="preserve">(x4) </w:t>
      </w:r>
      <w:r w:rsidR="006918C6" w:rsidRPr="004D1ED1">
        <w:t>na 20 pracovných dní v júni dostávame 960 cyklistov</w:t>
      </w:r>
      <w:r w:rsidR="00A74CA3" w:rsidRPr="004D1ED1">
        <w:t xml:space="preserve"> za mesiac</w:t>
      </w:r>
      <w:r w:rsidR="006918C6" w:rsidRPr="004D1ED1">
        <w:t xml:space="preserve">. </w:t>
      </w:r>
      <w:r w:rsidRPr="004D1ED1">
        <w:t xml:space="preserve">Podiel mesiaca jún na celoročnej intenzite cyklistickej dopravy sa uvažuje </w:t>
      </w:r>
      <w:r w:rsidRPr="003F7AE0">
        <w:t>12%</w:t>
      </w:r>
      <w:r w:rsidR="006918C6" w:rsidRPr="003F7AE0">
        <w:t>, čo</w:t>
      </w:r>
      <w:r w:rsidR="006918C6" w:rsidRPr="004D1ED1">
        <w:t xml:space="preserve"> vo výsledku </w:t>
      </w:r>
      <w:r w:rsidR="00A74CA3" w:rsidRPr="004D1ED1">
        <w:t>dáva</w:t>
      </w:r>
      <w:r w:rsidR="006918C6" w:rsidRPr="004D1ED1">
        <w:t xml:space="preserve"> 960 x 8,333 = 8000 cyklistov za rok. Priemerná vzdialenosť cesty cyklistov využívajúcich tento koridor je podľa údajov z kampane 2,7 km. To znamená, že </w:t>
      </w:r>
      <w:r w:rsidR="00D90299" w:rsidRPr="004D1ED1">
        <w:t xml:space="preserve">užívatelia </w:t>
      </w:r>
      <w:r w:rsidR="00A74CA3" w:rsidRPr="004D1ED1">
        <w:t xml:space="preserve">plánovanej </w:t>
      </w:r>
      <w:r w:rsidR="00D90299" w:rsidRPr="004D1ED1">
        <w:t>cyklistickej infraštruktúry najazdia celkom 21 600 km ročne, ktoré by inak vykonali inými druhmi dopravy.</w:t>
      </w:r>
    </w:p>
    <w:p w14:paraId="3EC2FD19" w14:textId="754D8980" w:rsidR="001C1FD6" w:rsidRPr="001C1FD6" w:rsidRDefault="001C1FD6" w:rsidP="001C1FD6">
      <w:pPr>
        <w:rPr>
          <w:i/>
          <w:iCs/>
        </w:rPr>
      </w:pPr>
      <w:r>
        <w:t>Nedostatkom</w:t>
      </w:r>
      <w:r w:rsidRPr="001C1FD6">
        <w:t xml:space="preserve"> metódy A je </w:t>
      </w:r>
      <w:r>
        <w:t>obmedzenie na už existujúcu dopravnú sieť v území. V princípe táto metóda nedokáže reagovať na zlepšenie kvality (</w:t>
      </w:r>
      <w:r w:rsidR="00646486">
        <w:t>atraktivity a bezpečnosti) a významné zmeny v dostupnosti po vybudovaní novej</w:t>
      </w:r>
      <w:r w:rsidR="00646486">
        <w:t xml:space="preserve"> cyklotrasy</w:t>
      </w:r>
      <w:r w:rsidR="00646486">
        <w:t xml:space="preserve"> (napr. cyklistická lávka skracujúca prepojenie mestských časti inak oddelených riekou alebo inou neprekonateľnou prekážkou).</w:t>
      </w:r>
    </w:p>
    <w:p w14:paraId="5275EBA5" w14:textId="01BB5383" w:rsidR="00C9068D" w:rsidRPr="00551C70" w:rsidRDefault="00B50CA1" w:rsidP="004A7CF4">
      <w:pPr>
        <w:pStyle w:val="Nadpis2"/>
        <w:spacing w:before="240"/>
        <w:ind w:left="425" w:hanging="431"/>
      </w:pPr>
      <w:r>
        <w:t xml:space="preserve">Metóda B: </w:t>
      </w:r>
      <w:r w:rsidR="00C9068D" w:rsidRPr="00551C70">
        <w:t>Odhad potenciálu zjednodušeným modelom</w:t>
      </w:r>
    </w:p>
    <w:p w14:paraId="10DDFFE5" w14:textId="77777777" w:rsidR="00A94CEC" w:rsidRPr="003F7AE0" w:rsidRDefault="00C9068D" w:rsidP="00DE1BB0">
      <w:r w:rsidRPr="004D1ED1">
        <w:t xml:space="preserve">Na vytvorenie zjednodušeného dopravného modelu je potrebné </w:t>
      </w:r>
      <w:r w:rsidR="00820F3E" w:rsidRPr="004D1ED1">
        <w:t xml:space="preserve">hlbšie </w:t>
      </w:r>
      <w:r w:rsidRPr="004D1ED1">
        <w:t xml:space="preserve">zanalyzovať </w:t>
      </w:r>
      <w:r w:rsidR="00820F3E" w:rsidRPr="004D1ED1">
        <w:t xml:space="preserve">záujmové územie projektu. </w:t>
      </w:r>
      <w:r w:rsidR="00A94CEC" w:rsidRPr="004D1ED1">
        <w:t xml:space="preserve">Rámcový obsah a odporúčaný postup analýzy je </w:t>
      </w:r>
      <w:r w:rsidR="00A94CEC" w:rsidRPr="003F7AE0">
        <w:t>uvedený nižšie.</w:t>
      </w:r>
    </w:p>
    <w:p w14:paraId="3422A0FF" w14:textId="45722D2A" w:rsidR="0081335F" w:rsidRPr="004D1ED1" w:rsidRDefault="0081335F" w:rsidP="00E440CE">
      <w:pPr>
        <w:pStyle w:val="Odsekzoznamu"/>
        <w:numPr>
          <w:ilvl w:val="0"/>
          <w:numId w:val="1"/>
        </w:numPr>
        <w:ind w:left="527" w:hanging="170"/>
      </w:pPr>
      <w:r w:rsidRPr="003F7AE0">
        <w:t>Pre správne modelovanie je potrebné záujmové územie rozdeliť na viacero okrskov, tzv. zón. Odporúča sa využiť delenie aspoň podľa základných sídelných jednotiek (ZSJ), prípadne</w:t>
      </w:r>
      <w:r w:rsidRPr="004D1ED1">
        <w:t xml:space="preserve"> je možné definovať vlastné zóny tak, aby bolo možné z pohľadu dochádzky do sledovaného cieľa predpokladať z celej zóny viac-menej jednotnú trasu a rozptyl dochádzkovej vzdialenosti z opačných okrajov zóny výrazne nepresiahol 1 km. V opačnom prípade je </w:t>
      </w:r>
      <w:r w:rsidRPr="007D23E8">
        <w:t>v kroku VI</w:t>
      </w:r>
      <w:r w:rsidRPr="004D1ED1">
        <w:t xml:space="preserve"> potrebné pre daný pár zdrojovej a cieľovej zóny určiť podiel dochádzajúcich využívajúcich plánovanú trasu. Pre  jednotlivé zóny je potrebné zistiť počty obyvateľov, príp. priamo počty dochádzajúcich podľa konkrétneho typu cieľa (napr. detí, ak je cieľom škola). Tieto údaje je možné získať z podrobných štatistík sčítania obyvateľstva (</w:t>
      </w:r>
      <w:r w:rsidR="00B93F04">
        <w:t>L</w:t>
      </w:r>
      <w:r w:rsidRPr="004D1ED1">
        <w:t>exikón obcí ŠÚ SR).</w:t>
      </w:r>
    </w:p>
    <w:p w14:paraId="2FAEBDB3" w14:textId="66654473" w:rsidR="00A94CEC" w:rsidRPr="004D1ED1" w:rsidRDefault="0081335F" w:rsidP="00E440CE">
      <w:pPr>
        <w:pStyle w:val="Odsekzoznamu"/>
        <w:numPr>
          <w:ilvl w:val="0"/>
          <w:numId w:val="1"/>
        </w:numPr>
        <w:ind w:left="527" w:hanging="170"/>
      </w:pPr>
      <w:r w:rsidRPr="004D1ED1">
        <w:t>následne</w:t>
      </w:r>
      <w:r w:rsidR="00820F3E" w:rsidRPr="004D1ED1">
        <w:t xml:space="preserve"> je potrebné identifikovať konkrétny </w:t>
      </w:r>
      <w:r w:rsidR="00B8171F" w:rsidRPr="004D1ED1">
        <w:t xml:space="preserve">hlavný </w:t>
      </w:r>
      <w:r w:rsidR="00820F3E" w:rsidRPr="004D1ED1">
        <w:t xml:space="preserve">cieľ (príp. aj viaceré </w:t>
      </w:r>
      <w:r w:rsidR="00B8171F" w:rsidRPr="004D1ED1">
        <w:t xml:space="preserve">hlavné </w:t>
      </w:r>
      <w:r w:rsidR="00820F3E" w:rsidRPr="004D1ED1">
        <w:t>ciele) cyklistických ciest ku ktorým plánovaná infraštruktúra vedie</w:t>
      </w:r>
      <w:r w:rsidR="00374E10" w:rsidRPr="004D1ED1">
        <w:t>. V</w:t>
      </w:r>
      <w:r w:rsidR="00820F3E" w:rsidRPr="004D1ED1">
        <w:t xml:space="preserve">ýlučne </w:t>
      </w:r>
      <w:r w:rsidR="00374E10" w:rsidRPr="004D1ED1">
        <w:t xml:space="preserve">sa </w:t>
      </w:r>
      <w:r w:rsidR="00820F3E" w:rsidRPr="004D1ED1">
        <w:t xml:space="preserve">zameriame na pravidelnú dochádzku, typickými cieľmi sú (väčšie) priemyselné podniky, úrady, školy alebo tiež napr. železničné stanice. </w:t>
      </w:r>
      <w:r w:rsidR="00374E10" w:rsidRPr="004D1ED1">
        <w:t xml:space="preserve">Iné potenciálne ciele (napr. nákupné centrá, rekreačné zóny a pod.) zanedbáme. </w:t>
      </w:r>
      <w:r w:rsidR="00B8171F" w:rsidRPr="004D1ED1">
        <w:t xml:space="preserve">Pre dosiahnutie dostatočného potenciálu </w:t>
      </w:r>
      <w:r w:rsidR="00374E10" w:rsidRPr="004D1ED1">
        <w:t>nie je potrebné identifikovať všetky ciele</w:t>
      </w:r>
      <w:r w:rsidRPr="004D1ED1">
        <w:t xml:space="preserve"> v záujmovom území</w:t>
      </w:r>
      <w:r w:rsidR="00374E10" w:rsidRPr="004D1ED1">
        <w:t xml:space="preserve">. Obyčajne postačí identifikovať len niekoľko (jeden – dva) veľké ciele, ktoré majú rozhodujúci vplyv na dopyt. V prípade, že sa v záujmovom území nenachádza žiadny </w:t>
      </w:r>
      <w:r w:rsidR="005976E7" w:rsidRPr="004D1ED1">
        <w:t xml:space="preserve">konkrétny </w:t>
      </w:r>
      <w:r w:rsidR="00374E10" w:rsidRPr="004D1ED1">
        <w:t>veľký cieľ, možno</w:t>
      </w:r>
      <w:r w:rsidR="005976E7" w:rsidRPr="004D1ED1">
        <w:t xml:space="preserve"> agregovať potenciál viacerých menších cieľov</w:t>
      </w:r>
      <w:r w:rsidR="00B8171F" w:rsidRPr="004D1ED1">
        <w:t>.</w:t>
      </w:r>
    </w:p>
    <w:p w14:paraId="5DB036C5" w14:textId="16C399A6" w:rsidR="00820F3E" w:rsidRPr="004D1ED1" w:rsidRDefault="00820F3E" w:rsidP="00E440CE">
      <w:pPr>
        <w:pStyle w:val="Odsekzoznamu"/>
        <w:numPr>
          <w:ilvl w:val="0"/>
          <w:numId w:val="1"/>
        </w:numPr>
        <w:ind w:left="527" w:hanging="170"/>
      </w:pPr>
      <w:r w:rsidRPr="004D1ED1">
        <w:t xml:space="preserve">Pre tieto ciele je potrebné určiť celkovú dochádzku, </w:t>
      </w:r>
      <w:proofErr w:type="spellStart"/>
      <w:r w:rsidRPr="004D1ED1">
        <w:t>t.j</w:t>
      </w:r>
      <w:proofErr w:type="spellEnd"/>
      <w:r w:rsidRPr="004D1ED1">
        <w:t>. počet osôb za deň (rok) – z celkového počtu zamestnancov, resp. žiakov.</w:t>
      </w:r>
      <w:r w:rsidR="00A94CEC" w:rsidRPr="004D1ED1">
        <w:t xml:space="preserve"> </w:t>
      </w:r>
      <w:r w:rsidR="00340A59" w:rsidRPr="004D1ED1">
        <w:t>Uvažuje sa výlučne s už v súčasnosti existujúcimi cieľmi</w:t>
      </w:r>
      <w:r w:rsidR="005976E7" w:rsidRPr="004D1ED1">
        <w:t xml:space="preserve"> – </w:t>
      </w:r>
      <w:r w:rsidR="00340A59" w:rsidRPr="004D1ED1">
        <w:t xml:space="preserve">plánované investície (napr. priemyselné parky) nie sú zohľadnené. </w:t>
      </w:r>
      <w:r w:rsidR="008F12D4" w:rsidRPr="004D1ED1">
        <w:t xml:space="preserve">Údaje o počte zamestnancov je optimálne priamo dožiadať od uvažovaných zamestnávateľov v záujmovom území. Počet žiakov a študentov škôl je možné </w:t>
      </w:r>
      <w:r w:rsidR="00DF3A94" w:rsidRPr="004D1ED1">
        <w:t>získať</w:t>
      </w:r>
      <w:r w:rsidR="008F12D4" w:rsidRPr="004D1ED1">
        <w:t xml:space="preserve"> z </w:t>
      </w:r>
      <w:proofErr w:type="spellStart"/>
      <w:r w:rsidR="008F12D4" w:rsidRPr="004D1ED1">
        <w:t>MŠVaV</w:t>
      </w:r>
      <w:proofErr w:type="spellEnd"/>
      <w:r w:rsidR="008F12D4" w:rsidRPr="004D1ED1">
        <w:t xml:space="preserve"> SR. </w:t>
      </w:r>
      <w:r w:rsidRPr="004D1ED1">
        <w:t>V prípade železničných staníc</w:t>
      </w:r>
      <w:r w:rsidR="00A94CEC" w:rsidRPr="004D1ED1">
        <w:t>,</w:t>
      </w:r>
      <w:r w:rsidRPr="004D1ED1">
        <w:t xml:space="preserve"> informácie o obrate cestujúcich poskytne Železničná spoločnosť Slovensko</w:t>
      </w:r>
      <w:r w:rsidR="005976E7" w:rsidRPr="004D1ED1">
        <w:t xml:space="preserve"> / Ministerstvo dopravy a výstavby SR</w:t>
      </w:r>
      <w:r w:rsidRPr="004D1ED1">
        <w:t>.</w:t>
      </w:r>
    </w:p>
    <w:p w14:paraId="3729358E" w14:textId="37F25098" w:rsidR="008F12D4" w:rsidRPr="007D23E8" w:rsidRDefault="000E749C" w:rsidP="00E440CE">
      <w:pPr>
        <w:pStyle w:val="Odsekzoznamu"/>
        <w:numPr>
          <w:ilvl w:val="0"/>
          <w:numId w:val="1"/>
        </w:numPr>
        <w:ind w:left="527" w:hanging="170"/>
      </w:pPr>
      <w:r w:rsidRPr="004D1ED1">
        <w:lastRenderedPageBreak/>
        <w:t>Kritickým</w:t>
      </w:r>
      <w:r w:rsidR="008F12D4" w:rsidRPr="004D1ED1">
        <w:t xml:space="preserve"> krokom je určenie distribúcie zdrojov (obyvateľov) vo vzťahu k sledovaným cieľom</w:t>
      </w:r>
      <w:r w:rsidR="00DF3A94" w:rsidRPr="004D1ED1">
        <w:t>. Celkový počet dochádzajúcich (zamestnancov, žiakov či cestujúcich) do daného cieľa je treba rozdeliť do jednotlivých zdrojových zón</w:t>
      </w:r>
      <w:r w:rsidRPr="004D1ED1">
        <w:t>.</w:t>
      </w:r>
      <w:r w:rsidR="008F12D4" w:rsidRPr="004D1ED1">
        <w:t xml:space="preserve"> </w:t>
      </w:r>
      <w:r w:rsidR="00DF3A94" w:rsidRPr="004D1ED1">
        <w:t xml:space="preserve">Pre distribúciu ciest </w:t>
      </w:r>
      <w:r w:rsidR="006A4292" w:rsidRPr="004D1ED1">
        <w:t xml:space="preserve">V prípade, že takéto údaje nie je možné získať priamo, </w:t>
      </w:r>
      <w:r w:rsidR="00DF3A94" w:rsidRPr="004D1ED1">
        <w:t xml:space="preserve">možno </w:t>
      </w:r>
      <w:r w:rsidRPr="004D1ED1">
        <w:t xml:space="preserve">distribúciu určiť </w:t>
      </w:r>
      <w:r w:rsidR="006A4292" w:rsidRPr="004D1ED1">
        <w:t>pomern</w:t>
      </w:r>
      <w:r w:rsidRPr="004D1ED1">
        <w:t>ým výpočtom</w:t>
      </w:r>
      <w:r w:rsidR="006A4292" w:rsidRPr="004D1ED1">
        <w:t xml:space="preserve"> k počtu obyvateľov (alebo žiakov)</w:t>
      </w:r>
      <w:r w:rsidRPr="004D1ED1">
        <w:t xml:space="preserve"> jednotlivých zón (ZSJ)</w:t>
      </w:r>
      <w:r w:rsidR="006A4292" w:rsidRPr="004D1ED1">
        <w:t xml:space="preserve"> a ich vzdialenosti od daného cieľa</w:t>
      </w:r>
      <w:r w:rsidRPr="004D1ED1">
        <w:t>,</w:t>
      </w:r>
      <w:r w:rsidR="006A4292" w:rsidRPr="004D1ED1">
        <w:t xml:space="preserve"> </w:t>
      </w:r>
      <w:r w:rsidRPr="004D1ED1">
        <w:t>pomocou</w:t>
      </w:r>
      <w:r w:rsidR="00DF3A94" w:rsidRPr="004D1ED1">
        <w:t xml:space="preserve"> štandardn</w:t>
      </w:r>
      <w:r w:rsidRPr="004D1ED1">
        <w:t>ých</w:t>
      </w:r>
      <w:r w:rsidR="00DF3A94" w:rsidRPr="004D1ED1">
        <w:t xml:space="preserve"> modelovac</w:t>
      </w:r>
      <w:r w:rsidRPr="004D1ED1">
        <w:t>ích</w:t>
      </w:r>
      <w:r w:rsidR="00DF3A94" w:rsidRPr="004D1ED1">
        <w:t xml:space="preserve"> metód (najčastejšie </w:t>
      </w:r>
      <w:r w:rsidR="00DF3A94" w:rsidRPr="007D23E8">
        <w:t xml:space="preserve">gravitačný model), prípadne mierne zjednodušený model s parametrami distribučnej funkcie podľa </w:t>
      </w:r>
      <w:r w:rsidR="003F5510" w:rsidRPr="007D23E8">
        <w:t xml:space="preserve">prílohy </w:t>
      </w:r>
      <w:r w:rsidR="006A4292" w:rsidRPr="007D23E8">
        <w:t>I</w:t>
      </w:r>
      <w:r w:rsidR="003F5510" w:rsidRPr="007D23E8">
        <w:t xml:space="preserve">. </w:t>
      </w:r>
    </w:p>
    <w:p w14:paraId="42F854CA" w14:textId="77777777" w:rsidR="00340A59" w:rsidRPr="007D23E8" w:rsidRDefault="00340A59" w:rsidP="00E440CE">
      <w:pPr>
        <w:pStyle w:val="Odsekzoznamu"/>
        <w:numPr>
          <w:ilvl w:val="0"/>
          <w:numId w:val="1"/>
        </w:numPr>
        <w:ind w:left="527" w:hanging="170"/>
      </w:pPr>
      <w:r w:rsidRPr="007D23E8">
        <w:t xml:space="preserve">Z výsledkov rôznych </w:t>
      </w:r>
      <w:proofErr w:type="spellStart"/>
      <w:r w:rsidRPr="007D23E8">
        <w:t>mobilitných</w:t>
      </w:r>
      <w:proofErr w:type="spellEnd"/>
      <w:r w:rsidRPr="007D23E8">
        <w:t xml:space="preserve"> zisťovaní vyplýva, že podiel cyklistickej dopravy na celkovom počte vykonaných ciest (mimo rekreačných) v území predstavuje 2-5% (najmä v závislosti od miestnych podmienok). V krajinách s rozvinutou cyklistickou infraštruktúrou však podiel dosahuje výrazne vyššie hodnoty, hoci to je ovplyvnené aj inými faktormi. Celkový potenciál dochádzky bicyklom (a nemotorovými dopravnými prostriedkami) preto pre účely tejto metodiky definujeme paušálne na úrovni 10% z celkového počtu dochádzajúcich do vybraných cieľov.</w:t>
      </w:r>
    </w:p>
    <w:p w14:paraId="15824AD4" w14:textId="518598EE" w:rsidR="006B173C" w:rsidRPr="004D1ED1" w:rsidRDefault="00340A59" w:rsidP="00E440CE">
      <w:pPr>
        <w:pStyle w:val="Odsekzoznamu"/>
        <w:numPr>
          <w:ilvl w:val="0"/>
          <w:numId w:val="1"/>
        </w:numPr>
        <w:ind w:left="527" w:hanging="170"/>
      </w:pPr>
      <w:r w:rsidRPr="007D23E8">
        <w:t xml:space="preserve">V porovnaní s inými módmi dopravy (peší a IAD) sa cyklistická doprava javí ako najvýhodnejší spôsob dopravy pre cesty približne v rozpätí 0,3 – 5 km, a to aj v mestskom prostredí (kde uvažujeme priemernú rýchlosť IAD len 20 km/h a 7 minút dodatočný čas parkovania a na dochádzku od miesta zaparkovania). Toto potvrdzujú aj výsledky </w:t>
      </w:r>
      <w:proofErr w:type="spellStart"/>
      <w:r w:rsidRPr="007D23E8">
        <w:t>mobilitných</w:t>
      </w:r>
      <w:proofErr w:type="spellEnd"/>
      <w:r w:rsidRPr="007D23E8">
        <w:t xml:space="preserve"> zisťovaní či dáta z kampane „Do práce na bicykli“, z ktorých vyplýva, že podiel dochádzky podľa očakávania klesá zo zvyšujúcou sa vzdialenosťou cesty a nad 6 km dosahuje len asi 10% ciest, nad 10 km 5% a nad 15 km už len zhruba 1% všetkých ciest bicyklom.  Záujmové územie dochádzky bicyklom teda definujeme základným rádiusom približne 5 – 6 km, vo výnimočných prípadoch</w:t>
      </w:r>
      <w:r w:rsidRPr="004D1ED1">
        <w:t xml:space="preserve"> (pre ciele, ktoré sú odľahlé od zastaveného územia a vo vzdialenosti do 5 km sa nenachádza hlavný zdroj – sídelná jednotka s dostatočným počtom obyvateľov.</w:t>
      </w:r>
    </w:p>
    <w:p w14:paraId="427D67AE" w14:textId="2F8D26BF" w:rsidR="009C31C5" w:rsidRPr="00551C70" w:rsidRDefault="00C14E61" w:rsidP="00DE1BB0">
      <w:r w:rsidRPr="00551C70">
        <w:t>Zoznam podkladov požadovaných od žiadateľa v prípade postupu podľa metódy B:</w:t>
      </w:r>
    </w:p>
    <w:p w14:paraId="1BEDF251" w14:textId="613EAD6B" w:rsidR="00C14E61" w:rsidRPr="007D23E8" w:rsidRDefault="00C14E61" w:rsidP="00E440CE">
      <w:pPr>
        <w:pStyle w:val="Odsekzoznamu"/>
        <w:numPr>
          <w:ilvl w:val="0"/>
          <w:numId w:val="3"/>
        </w:numPr>
      </w:pPr>
      <w:r w:rsidRPr="004D1ED1">
        <w:t xml:space="preserve">Informácia o záujmovom území </w:t>
      </w:r>
      <w:r w:rsidR="0032762B" w:rsidRPr="004D1ED1">
        <w:t>–</w:t>
      </w:r>
      <w:r w:rsidRPr="004D1ED1">
        <w:t xml:space="preserve"> </w:t>
      </w:r>
      <w:r w:rsidR="0032762B" w:rsidRPr="004D1ED1">
        <w:t xml:space="preserve">územie mesta, príp. priľahlé obce v </w:t>
      </w:r>
      <w:r w:rsidR="0032762B" w:rsidRPr="007D23E8">
        <w:t>okruhu do 7</w:t>
      </w:r>
      <w:r w:rsidR="0032762B" w:rsidRPr="004D1ED1">
        <w:t xml:space="preserve"> až </w:t>
      </w:r>
      <w:r w:rsidR="0032762B" w:rsidRPr="007D23E8">
        <w:t>max 15-16 km od projektu</w:t>
      </w:r>
    </w:p>
    <w:p w14:paraId="043739C7" w14:textId="5ED5BE89" w:rsidR="00C14E61" w:rsidRPr="004D1ED1" w:rsidRDefault="00C14E61" w:rsidP="00E440CE">
      <w:pPr>
        <w:pStyle w:val="Odsekzoznamu"/>
        <w:numPr>
          <w:ilvl w:val="1"/>
          <w:numId w:val="3"/>
        </w:numPr>
      </w:pPr>
      <w:r w:rsidRPr="004D1ED1">
        <w:t>stručný popis (význam mesta, počet obyvateľov, počet pracovných príležitostí a pod.)</w:t>
      </w:r>
    </w:p>
    <w:p w14:paraId="2C80206A" w14:textId="33E35466" w:rsidR="0032762B" w:rsidRPr="004D1ED1" w:rsidRDefault="0032762B" w:rsidP="00E440CE">
      <w:pPr>
        <w:pStyle w:val="Odsekzoznamu"/>
        <w:numPr>
          <w:ilvl w:val="1"/>
          <w:numId w:val="3"/>
        </w:numPr>
      </w:pPr>
      <w:r w:rsidRPr="004D1ED1">
        <w:t>tabuľka: delenie základných sídelných jednotiek / zón – počet obyvateľov (žiakov)</w:t>
      </w:r>
    </w:p>
    <w:p w14:paraId="5FFF4EAF" w14:textId="5FEC3E8D" w:rsidR="009C31C5" w:rsidRPr="004D1ED1" w:rsidRDefault="00C14E61" w:rsidP="00E440CE">
      <w:pPr>
        <w:pStyle w:val="Odsekzoznamu"/>
        <w:numPr>
          <w:ilvl w:val="1"/>
          <w:numId w:val="3"/>
        </w:numPr>
      </w:pPr>
      <w:r w:rsidRPr="004D1ED1">
        <w:t>mapka A3 v mierke: delenie ZSJ, komunikačná sieť (vrátane peších a cyklistických ťahov)</w:t>
      </w:r>
    </w:p>
    <w:p w14:paraId="75368DDB" w14:textId="484E79A8" w:rsidR="00C14E61" w:rsidRPr="004D1ED1" w:rsidRDefault="00C14E61" w:rsidP="00E440CE">
      <w:pPr>
        <w:pStyle w:val="Odsekzoznamu"/>
        <w:numPr>
          <w:ilvl w:val="0"/>
          <w:numId w:val="3"/>
        </w:numPr>
      </w:pPr>
      <w:r w:rsidRPr="004D1ED1">
        <w:t xml:space="preserve">Identifikácia </w:t>
      </w:r>
      <w:r w:rsidR="0032762B" w:rsidRPr="004D1ED1">
        <w:t>hlavných cieľov relevantných pre projekt</w:t>
      </w:r>
    </w:p>
    <w:p w14:paraId="110A00AD" w14:textId="229F22D1" w:rsidR="0032762B" w:rsidRPr="004D1ED1" w:rsidRDefault="0032762B" w:rsidP="00E440CE">
      <w:pPr>
        <w:pStyle w:val="Odsekzoznamu"/>
        <w:numPr>
          <w:ilvl w:val="1"/>
          <w:numId w:val="3"/>
        </w:numPr>
      </w:pPr>
      <w:r w:rsidRPr="004D1ED1">
        <w:t>typ cieľa (práca, škola, železničná stanica)</w:t>
      </w:r>
    </w:p>
    <w:p w14:paraId="1EDA25E8" w14:textId="28C98B7E" w:rsidR="0032762B" w:rsidRPr="004D1ED1" w:rsidRDefault="0032762B" w:rsidP="00E440CE">
      <w:pPr>
        <w:pStyle w:val="Odsekzoznamu"/>
        <w:numPr>
          <w:ilvl w:val="1"/>
          <w:numId w:val="3"/>
        </w:numPr>
      </w:pPr>
      <w:r w:rsidRPr="004D1ED1">
        <w:t xml:space="preserve">tabuľka: vzdialenosť cieľa od </w:t>
      </w:r>
      <w:proofErr w:type="spellStart"/>
      <w:r w:rsidRPr="004D1ED1">
        <w:t>centroidov</w:t>
      </w:r>
      <w:proofErr w:type="spellEnd"/>
      <w:r w:rsidRPr="004D1ED1">
        <w:t xml:space="preserve"> ZSJ/zón v km</w:t>
      </w:r>
    </w:p>
    <w:p w14:paraId="70A75EC9" w14:textId="4E07659F" w:rsidR="0032762B" w:rsidRPr="004D1ED1" w:rsidRDefault="0032762B" w:rsidP="00E440CE">
      <w:pPr>
        <w:pStyle w:val="Odsekzoznamu"/>
        <w:numPr>
          <w:ilvl w:val="1"/>
          <w:numId w:val="3"/>
        </w:numPr>
      </w:pPr>
      <w:r w:rsidRPr="004D1ED1">
        <w:t>mapka A3: umiestnenie, znázornenie možných (najkratších) trás zo zdrojových zón</w:t>
      </w:r>
    </w:p>
    <w:p w14:paraId="0CD2595C" w14:textId="37BE945E" w:rsidR="0032762B" w:rsidRPr="004D1ED1" w:rsidRDefault="006A4292" w:rsidP="00E440CE">
      <w:pPr>
        <w:pStyle w:val="Odsekzoznamu"/>
        <w:numPr>
          <w:ilvl w:val="0"/>
          <w:numId w:val="3"/>
        </w:numPr>
      </w:pPr>
      <w:r w:rsidRPr="004D1ED1">
        <w:t>Údaje o dochádzke (pre každý hlavný cieľ samostatne</w:t>
      </w:r>
    </w:p>
    <w:p w14:paraId="349A3202" w14:textId="415ABC3F" w:rsidR="006A4292" w:rsidRPr="004D1ED1" w:rsidRDefault="006A4292" w:rsidP="00E440CE">
      <w:pPr>
        <w:pStyle w:val="Odsekzoznamu"/>
        <w:numPr>
          <w:ilvl w:val="1"/>
          <w:numId w:val="3"/>
        </w:numPr>
      </w:pPr>
      <w:r w:rsidRPr="004D1ED1">
        <w:t xml:space="preserve">zdrojové dáta a výsledky zisťovania parametrov dochádzky (vzdialenosť </w:t>
      </w:r>
      <w:r w:rsidR="00A74CA3" w:rsidRPr="004D1ED1">
        <w:t>a</w:t>
      </w:r>
      <w:r w:rsidRPr="004D1ED1">
        <w:t xml:space="preserve"> </w:t>
      </w:r>
      <w:r w:rsidR="00A74CA3" w:rsidRPr="004D1ED1">
        <w:t xml:space="preserve">príp. </w:t>
      </w:r>
      <w:r w:rsidR="00E42C86" w:rsidRPr="004D1ED1">
        <w:t xml:space="preserve">iné parametre, napr. trvanie dochádzky, </w:t>
      </w:r>
      <w:r w:rsidRPr="004D1ED1">
        <w:t>čas odchodu, dopravný prostriedok, účel, frekvencia</w:t>
      </w:r>
      <w:r w:rsidR="00A74CA3" w:rsidRPr="004D1ED1">
        <w:t>,</w:t>
      </w:r>
      <w:r w:rsidRPr="004D1ED1">
        <w:t xml:space="preserve"> a pod.) do</w:t>
      </w:r>
      <w:r w:rsidR="00E42C86" w:rsidRPr="004D1ED1">
        <w:t> </w:t>
      </w:r>
      <w:r w:rsidRPr="004D1ED1">
        <w:t>miesta zamestnania / na železničnú stanicu (podľa typu cieľov)</w:t>
      </w:r>
    </w:p>
    <w:p w14:paraId="607A6C8F" w14:textId="77777777" w:rsidR="009C31C5" w:rsidRPr="004D1ED1" w:rsidRDefault="009C31C5" w:rsidP="00DE1BB0"/>
    <w:p w14:paraId="53A393BF" w14:textId="77777777" w:rsidR="00B8171F" w:rsidRPr="004D1ED1" w:rsidRDefault="00B8171F" w:rsidP="00DE1BB0"/>
    <w:p w14:paraId="0D5159BD" w14:textId="77777777" w:rsidR="00B8171F" w:rsidRPr="004D1ED1" w:rsidRDefault="00B8171F" w:rsidP="00DE1BB0"/>
    <w:p w14:paraId="6BF9D88C" w14:textId="77777777" w:rsidR="00D4055E" w:rsidRPr="004D1ED1" w:rsidRDefault="00D4055E" w:rsidP="00DE1BB0">
      <w:r w:rsidRPr="004D1ED1">
        <w:br w:type="page"/>
      </w:r>
    </w:p>
    <w:p w14:paraId="4ED508E0" w14:textId="560BAED3" w:rsidR="00551C70" w:rsidRDefault="00551C70" w:rsidP="007B4858">
      <w:pPr>
        <w:pStyle w:val="Nadpis1"/>
        <w:ind w:left="357" w:hanging="357"/>
      </w:pPr>
      <w:bookmarkStart w:id="0" w:name="_Hlk89335170"/>
      <w:r w:rsidRPr="007235CA">
        <w:lastRenderedPageBreak/>
        <w:t>Ekonomická analýza</w:t>
      </w:r>
    </w:p>
    <w:p w14:paraId="12B64C0A" w14:textId="77777777" w:rsidR="004214C1" w:rsidRDefault="004214C1" w:rsidP="004214C1">
      <w:r>
        <w:t>Z pohľadu spoločnosti, najzaujímavejším výstupom</w:t>
      </w:r>
      <w:r w:rsidRPr="004D1ED1">
        <w:t xml:space="preserve"> CBA je spracovanie ekonomickej analýzy. Práve táto časť CBA je zhodnotením spoločenského dopadu investície a je indikátorom pre posúdenie projektu podľa princípu hodnoty za peniaze. </w:t>
      </w:r>
    </w:p>
    <w:p w14:paraId="193EA773" w14:textId="174A2691" w:rsidR="004214C1" w:rsidRPr="004214C1" w:rsidRDefault="004214C1" w:rsidP="004214C1">
      <w:r w:rsidRPr="004D1ED1">
        <w:t>Cieľom ekonomickej analýzy je vyhodnotiť čistý príspevok investície k blahobytu celej spoločnosti v určitej krajine alebo regióne</w:t>
      </w:r>
      <w:r>
        <w:t>, vyjadrený (</w:t>
      </w:r>
      <w:r w:rsidRPr="004D1ED1">
        <w:t>pozitívnou</w:t>
      </w:r>
      <w:r>
        <w:t>)</w:t>
      </w:r>
      <w:r w:rsidRPr="004D1ED1">
        <w:t xml:space="preserve"> ekonomickou čistou súčasnou hodnotou (ENPV)</w:t>
      </w:r>
      <w:r>
        <w:t xml:space="preserve"> a súčasne tak preukázať efektivitu investície</w:t>
      </w:r>
      <w:r w:rsidRPr="004D1ED1">
        <w:t xml:space="preserve"> </w:t>
      </w:r>
      <w:r>
        <w:t>vyjadrenou indikátorom BCR, čiže pomeru (</w:t>
      </w:r>
      <w:proofErr w:type="spellStart"/>
      <w:r>
        <w:t>socio</w:t>
      </w:r>
      <w:proofErr w:type="spellEnd"/>
      <w:r>
        <w:t>-ekonomických) prínosov a investičných a prevádzkových nákladov projektu, resp. ukazovateľom relatívnej efektívnosti investície (ERR), ktorým sa preukazuje, že návratnosť projektu je vyššia ako referenčná hodnota, tzv. sociálnej diskontnej sadzby (na Slovensku 5%) vyjadrujúcu očakávanú návratnosť spoločensky potrebných investícií.</w:t>
      </w:r>
    </w:p>
    <w:bookmarkEnd w:id="0"/>
    <w:p w14:paraId="04EC5E36" w14:textId="1B046F33" w:rsidR="00D90299" w:rsidRPr="007B4858" w:rsidRDefault="00551C70" w:rsidP="004214C1">
      <w:pPr>
        <w:pStyle w:val="Nadpis2"/>
        <w:ind w:left="426"/>
      </w:pPr>
      <w:r w:rsidRPr="007B4858">
        <w:t>Prínosy</w:t>
      </w:r>
    </w:p>
    <w:p w14:paraId="4EB328C1" w14:textId="77777777" w:rsidR="004A7CF4" w:rsidRDefault="004A7CF4" w:rsidP="004A7CF4">
      <w:r>
        <w:t xml:space="preserve">Zlepšenie prístupu do centier miest sa považuje za prostriedok zlepšenia prístupu na trhy práce, lepšie prepojenie medzi rôznymi časťami miest, ako aj s verejnom dopravou. Cyklistická infraštruktúra by mala povzbudiť ľudí, aby opustili svoje autá a nasadli na bicykle, čím sa znižuje objem premávky. V takom prípade a zníženie cestovného času môže byť </w:t>
      </w:r>
      <w:proofErr w:type="spellStart"/>
      <w:r>
        <w:t>monetizované</w:t>
      </w:r>
      <w:proofErr w:type="spellEnd"/>
      <w:r>
        <w:t xml:space="preserve"> ako časť </w:t>
      </w:r>
      <w:proofErr w:type="spellStart"/>
      <w:r>
        <w:t>socio</w:t>
      </w:r>
      <w:proofErr w:type="spellEnd"/>
      <w:r>
        <w:t xml:space="preserve">-ekonomických benefitov. </w:t>
      </w:r>
    </w:p>
    <w:p w14:paraId="4B4844F9" w14:textId="1BFB4C15" w:rsidR="006F01B5" w:rsidRPr="004D1ED1" w:rsidRDefault="00D90299" w:rsidP="006F01B5">
      <w:r w:rsidRPr="004D1ED1">
        <w:t xml:space="preserve">Ak poznáme </w:t>
      </w:r>
      <w:r w:rsidR="004D35CA" w:rsidRPr="004D1ED1">
        <w:t xml:space="preserve">skutočný alebo potenciálny </w:t>
      </w:r>
      <w:r w:rsidRPr="004D1ED1">
        <w:t xml:space="preserve">celkový objem </w:t>
      </w:r>
      <w:r w:rsidR="009C31C5" w:rsidRPr="004D1ED1">
        <w:t xml:space="preserve">cyklistickej dopravy v záujmovom území projektu, výpočet spoločenských </w:t>
      </w:r>
      <w:r w:rsidR="006F01B5">
        <w:t>prínosov</w:t>
      </w:r>
      <w:r w:rsidR="009C31C5" w:rsidRPr="004D1ED1">
        <w:t xml:space="preserve"> je už pomerne jednoduchá úloha</w:t>
      </w:r>
      <w:r w:rsidR="006F01B5">
        <w:t xml:space="preserve"> – </w:t>
      </w:r>
      <w:r w:rsidR="006F01B5" w:rsidRPr="004D1ED1">
        <w:t xml:space="preserve">aplikujú </w:t>
      </w:r>
      <w:r w:rsidR="006F01B5">
        <w:t xml:space="preserve">sa </w:t>
      </w:r>
      <w:r w:rsidR="006F01B5" w:rsidRPr="004D1ED1">
        <w:t>postupy a paušálne sadzby v zmysle Metodickej príručky k tvorbe analýz nákladov a prínosov (CBA), verzia 3.0 (ďalej len ako „Príručka CBA“).</w:t>
      </w:r>
    </w:p>
    <w:p w14:paraId="1BBAA3C6" w14:textId="7EC39D10" w:rsidR="00A93BE8" w:rsidRPr="004D1ED1" w:rsidRDefault="009C31C5" w:rsidP="00DE1BB0">
      <w:r w:rsidRPr="004D1ED1">
        <w:t xml:space="preserve">Predtým je však </w:t>
      </w:r>
      <w:r w:rsidR="00173C6A" w:rsidRPr="004D1ED1">
        <w:t xml:space="preserve">ešte </w:t>
      </w:r>
      <w:r w:rsidRPr="004D1ED1">
        <w:t xml:space="preserve">potrebné odhadnúť podiely jednotlivých druhov konkurenčných </w:t>
      </w:r>
      <w:r w:rsidR="00173C6A" w:rsidRPr="004D1ED1">
        <w:t>druhov dopravy</w:t>
      </w:r>
      <w:r w:rsidRPr="004D1ED1">
        <w:t>, z ktorej pravdepodo</w:t>
      </w:r>
      <w:r w:rsidR="004D35CA" w:rsidRPr="004D1ED1">
        <w:t>bne cyklisti pochádzajú.</w:t>
      </w:r>
      <w:r w:rsidR="00A93BE8" w:rsidRPr="004D1ED1">
        <w:t xml:space="preserve"> </w:t>
      </w:r>
      <w:r w:rsidR="0067510F" w:rsidRPr="004D1ED1">
        <w:t>Prioritne je možné použiť podiely druhov dopravy podľa predpokladov miestnych strategických dokumentov v oblasti dopravy (</w:t>
      </w:r>
      <w:proofErr w:type="spellStart"/>
      <w:r w:rsidR="0067510F" w:rsidRPr="004D1ED1">
        <w:t>Generel</w:t>
      </w:r>
      <w:proofErr w:type="spellEnd"/>
      <w:r w:rsidR="0067510F" w:rsidRPr="004D1ED1">
        <w:t xml:space="preserve"> dopravy, SUMP,  </w:t>
      </w:r>
      <w:r w:rsidR="006F01B5">
        <w:t>Ú</w:t>
      </w:r>
      <w:r w:rsidR="0067510F" w:rsidRPr="004D1ED1">
        <w:t>MR a pod.). Inak p</w:t>
      </w:r>
      <w:r w:rsidR="00A93BE8" w:rsidRPr="004D1ED1">
        <w:t xml:space="preserve">redpokladáme, že na bicykli dochádzajú </w:t>
      </w:r>
      <w:r w:rsidR="00802D50" w:rsidRPr="004D1ED1">
        <w:t xml:space="preserve">predovšetkým </w:t>
      </w:r>
      <w:r w:rsidR="00A93BE8" w:rsidRPr="004D1ED1">
        <w:t>bývalí užívatelia</w:t>
      </w:r>
      <w:r w:rsidR="00802D50" w:rsidRPr="004D1ED1">
        <w:t xml:space="preserve"> (hovoríme tiež, že doprava je prevedená z</w:t>
      </w:r>
      <w:r w:rsidR="00173C6A" w:rsidRPr="004D1ED1">
        <w:t>...</w:t>
      </w:r>
      <w:r w:rsidR="00802D50" w:rsidRPr="004D1ED1">
        <w:t>)</w:t>
      </w:r>
      <w:r w:rsidR="00A93BE8" w:rsidRPr="004D1ED1">
        <w:t xml:space="preserve"> individuálnej automobilovej dopravy</w:t>
      </w:r>
      <w:r w:rsidR="00802D50" w:rsidRPr="004D1ED1">
        <w:t xml:space="preserve"> (IAD)</w:t>
      </w:r>
      <w:r w:rsidR="00A93BE8" w:rsidRPr="004D1ED1">
        <w:t xml:space="preserve"> </w:t>
      </w:r>
      <w:r w:rsidR="00E42C86" w:rsidRPr="004D1ED1">
        <w:t xml:space="preserve">v podiele </w:t>
      </w:r>
      <w:r w:rsidR="00E42C86" w:rsidRPr="004D1ED1">
        <w:rPr>
          <w:highlight w:val="yellow"/>
        </w:rPr>
        <w:t>65%, v Bratislave 55%</w:t>
      </w:r>
      <w:r w:rsidR="00E42C86" w:rsidRPr="004D1ED1">
        <w:t xml:space="preserve"> </w:t>
      </w:r>
      <w:r w:rsidR="00A93BE8" w:rsidRPr="004D1ED1">
        <w:t xml:space="preserve">a mestskej či prímestskej hromadnej dopravy </w:t>
      </w:r>
      <w:r w:rsidR="00802D50" w:rsidRPr="004D1ED1">
        <w:t xml:space="preserve">(HD) </w:t>
      </w:r>
      <w:r w:rsidR="00E42C86" w:rsidRPr="004D1ED1">
        <w:t xml:space="preserve">v podiele </w:t>
      </w:r>
      <w:r w:rsidR="00E42C86" w:rsidRPr="004D1ED1">
        <w:rPr>
          <w:highlight w:val="yellow"/>
        </w:rPr>
        <w:t xml:space="preserve">25%, resp. v Bratislave </w:t>
      </w:r>
      <w:r w:rsidR="00A93BE8" w:rsidRPr="004D1ED1">
        <w:rPr>
          <w:highlight w:val="yellow"/>
        </w:rPr>
        <w:t>40</w:t>
      </w:r>
      <w:r w:rsidR="0067510F" w:rsidRPr="004D1ED1">
        <w:t>%</w:t>
      </w:r>
      <w:r w:rsidR="00A93BE8" w:rsidRPr="004D1ED1">
        <w:t>.</w:t>
      </w:r>
      <w:r w:rsidR="00802D50" w:rsidRPr="004D1ED1">
        <w:t xml:space="preserve"> </w:t>
      </w:r>
      <w:r w:rsidR="00173C6A" w:rsidRPr="004D1ED1">
        <w:br/>
      </w:r>
      <w:r w:rsidR="00802D50" w:rsidRPr="004D1ED1">
        <w:t xml:space="preserve">Podiel </w:t>
      </w:r>
      <w:r w:rsidR="0067510F" w:rsidRPr="004D1ED1">
        <w:t>prevedených</w:t>
      </w:r>
      <w:r w:rsidR="00802D50" w:rsidRPr="004D1ED1">
        <w:t xml:space="preserve"> peších dochádzajúcich </w:t>
      </w:r>
      <w:r w:rsidR="00802D50" w:rsidRPr="004D1ED1">
        <w:rPr>
          <w:highlight w:val="yellow"/>
        </w:rPr>
        <w:t>zanedbáme</w:t>
      </w:r>
      <w:r w:rsidR="00E42C86" w:rsidRPr="004D1ED1">
        <w:rPr>
          <w:highlight w:val="yellow"/>
        </w:rPr>
        <w:t xml:space="preserve"> / uvažujeme paušálne 10%</w:t>
      </w:r>
      <w:r w:rsidR="00E42C86" w:rsidRPr="004D1ED1">
        <w:t xml:space="preserve"> (ako približne polovica z dochádzajúcich do 1 km, plus časť dochádzajúcich na väčšie vzdialenosti)</w:t>
      </w:r>
      <w:r w:rsidR="00802D50" w:rsidRPr="004D1ED1">
        <w:t>.</w:t>
      </w:r>
      <w:r w:rsidR="009F5297" w:rsidRPr="004D1ED1">
        <w:t xml:space="preserve"> </w:t>
      </w:r>
      <w:r w:rsidR="009F5297" w:rsidRPr="006F01B5">
        <w:t xml:space="preserve">Pre zjednodušenie </w:t>
      </w:r>
      <w:r w:rsidR="006F01B5">
        <w:t xml:space="preserve">najprv </w:t>
      </w:r>
      <w:r w:rsidR="006F01B5" w:rsidRPr="006F01B5">
        <w:t>uvažuj</w:t>
      </w:r>
      <w:r w:rsidR="009F5297" w:rsidRPr="006F01B5">
        <w:t>me, že dĺžka trasy cyklistu je rovná dĺžke trasy pešieho, či dochádzajúceho autom.</w:t>
      </w:r>
      <w:r w:rsidR="009F5297" w:rsidRPr="004D1ED1">
        <w:t xml:space="preserve"> </w:t>
      </w:r>
    </w:p>
    <w:p w14:paraId="319B4413" w14:textId="53E8B47D" w:rsidR="00BA29C8" w:rsidRPr="007B4858" w:rsidRDefault="008D6D0A" w:rsidP="007B4858">
      <w:pPr>
        <w:pStyle w:val="Nadpis3"/>
      </w:pPr>
      <w:r>
        <w:t>Zlepšenie</w:t>
      </w:r>
      <w:r w:rsidR="00BA29C8" w:rsidRPr="007B4858">
        <w:t xml:space="preserve"> zdravia obyvateľstva vplyvom pohybu</w:t>
      </w:r>
    </w:p>
    <w:p w14:paraId="4F59D1FD" w14:textId="17DC97CB" w:rsidR="006F01B5" w:rsidRDefault="00BA29C8" w:rsidP="00DE1BB0">
      <w:r w:rsidRPr="00DE1BB0">
        <w:t xml:space="preserve">Pri projektoch pre iné druhy dopravy neštandardným, ale v prípade cyklistickej infraštruktúry </w:t>
      </w:r>
      <w:r w:rsidR="00DD614D" w:rsidRPr="00DE1BB0">
        <w:t>naj</w:t>
      </w:r>
      <w:r w:rsidRPr="00DE1BB0">
        <w:t>dôležit</w:t>
      </w:r>
      <w:r w:rsidR="00DD614D" w:rsidRPr="00DE1BB0">
        <w:t>ejším</w:t>
      </w:r>
      <w:r w:rsidRPr="00DE1BB0">
        <w:t xml:space="preserve"> zdrojom spoločenských benefitov sú benefity vyplývajúce zo zlepšenia zdravotného stavu obyvateľstva vplyvom zvýšenia miery pohybu pri dochádzke na bicykli. Podľa Príručky CBA sú prínosy v oblasti zdravia pri </w:t>
      </w:r>
      <w:r w:rsidR="00DD614D" w:rsidRPr="00DE1BB0">
        <w:t>dochádzke bicyklom namiesto</w:t>
      </w:r>
      <w:r w:rsidRPr="00DE1BB0">
        <w:t xml:space="preserve"> </w:t>
      </w:r>
      <w:r w:rsidRPr="00DE1BB0">
        <w:rPr>
          <w:highlight w:val="yellow"/>
        </w:rPr>
        <w:t>IAD</w:t>
      </w:r>
      <w:r w:rsidR="00DD614D" w:rsidRPr="00DE1BB0">
        <w:rPr>
          <w:highlight w:val="yellow"/>
        </w:rPr>
        <w:t xml:space="preserve"> </w:t>
      </w:r>
      <w:r w:rsidR="003B3D97">
        <w:rPr>
          <w:highlight w:val="yellow"/>
        </w:rPr>
        <w:t>č</w:t>
      </w:r>
      <w:r w:rsidR="00DD614D" w:rsidRPr="00DE1BB0">
        <w:rPr>
          <w:highlight w:val="yellow"/>
        </w:rPr>
        <w:t>i hromadnej dopravy</w:t>
      </w:r>
      <w:r w:rsidR="00DD614D" w:rsidRPr="00DE1BB0">
        <w:t xml:space="preserve"> 0,667 EUR/km. Po zohľadnení vyššie spomenutých predpokladaných podielov IAD a hromadnej dopravy (spolu 90%) tak vychádza spoločenský benefit na úrovni až 60,00 EUR na 100 km z celkového preukázaného či odhadnutého objemu „</w:t>
      </w:r>
      <w:proofErr w:type="spellStart"/>
      <w:r w:rsidR="00DD614D" w:rsidRPr="00DE1BB0">
        <w:t>cyklokilometrov</w:t>
      </w:r>
      <w:proofErr w:type="spellEnd"/>
      <w:r w:rsidR="00DD614D" w:rsidRPr="00DE1BB0">
        <w:t xml:space="preserve">“, ktoré najazdia užívatelia plánovaného projektu. </w:t>
      </w:r>
    </w:p>
    <w:p w14:paraId="19AED48B" w14:textId="72E7E1B4" w:rsidR="00BA29C8" w:rsidRDefault="00DD614D" w:rsidP="00DE1BB0">
      <w:r w:rsidRPr="007D23E8">
        <w:t xml:space="preserve">Pre výpočet celkových benefitov za celé </w:t>
      </w:r>
      <w:r w:rsidR="003003F2" w:rsidRPr="007D23E8">
        <w:t xml:space="preserve">návrhové obdobie 20 rokov </w:t>
      </w:r>
      <w:r w:rsidRPr="007D23E8">
        <w:t>sa odporúča použiť prepočtový faktor 10,380.</w:t>
      </w:r>
    </w:p>
    <w:p w14:paraId="29513547" w14:textId="315EB151" w:rsidR="005B1298" w:rsidRPr="004D1ED1" w:rsidRDefault="005B1298" w:rsidP="005B1298">
      <w:pPr>
        <w:pStyle w:val="Nadpis3"/>
        <w:rPr>
          <w:rFonts w:asciiTheme="minorHAnsi" w:hAnsiTheme="minorHAnsi" w:cstheme="minorHAnsi"/>
          <w:u w:val="single"/>
        </w:rPr>
      </w:pPr>
      <w:r>
        <w:t>Čas prepravy</w:t>
      </w:r>
    </w:p>
    <w:p w14:paraId="2FD6ACD1" w14:textId="77777777" w:rsidR="008D138C" w:rsidRDefault="005B1298" w:rsidP="00DE1BB0">
      <w:r>
        <w:t xml:space="preserve">Úspory času pri preprave sú v prípade cestných či železničných projektov často kľúčovou zložkou ich prínosov. V prípade cyklistickej dopravy je toto trochu inak. </w:t>
      </w:r>
      <w:r w:rsidR="0029344A">
        <w:t xml:space="preserve">Reálne časové úspory možno predpokladať </w:t>
      </w:r>
      <w:r w:rsidR="0029344A">
        <w:lastRenderedPageBreak/>
        <w:t>v podstate iba v prípade trás na pomerne krátke vzdialenosti (do 5 km) aj to len v centrách miest, kde rýchlosť automobilovej dopravy je porovnateľná s cyklistami (15 km/h) a úspora je dosahovaná skôr vplyvom zdržaní na cestách (</w:t>
      </w:r>
      <w:proofErr w:type="spellStart"/>
      <w:r w:rsidR="0029344A">
        <w:t>kongescie</w:t>
      </w:r>
      <w:proofErr w:type="spellEnd"/>
      <w:r w:rsidR="0029344A">
        <w:t>, svetelná signalizácia, hľadanie miesta na zaparkovanie) alebo skrátením trasy cyklistov, ktoré je treba modelovať pre konkrétne prípady.</w:t>
      </w:r>
      <w:r w:rsidR="0029344A" w:rsidRPr="00A4270F">
        <w:t xml:space="preserve"> </w:t>
      </w:r>
      <w:r w:rsidR="0029344A">
        <w:t>Z týchto dôvodov preto pri stanovení dopytu metódou A uvažovať s časovými úsporami neodporúčame.</w:t>
      </w:r>
      <w:r w:rsidR="0029344A">
        <w:t xml:space="preserve"> </w:t>
      </w:r>
      <w:r w:rsidR="00303588">
        <w:t xml:space="preserve">Vo všeobecnosti je čas prepravy bicyklom vyšší ako pri konkurenčných módoch (viď tabuľka v kapitole 1.3). </w:t>
      </w:r>
    </w:p>
    <w:p w14:paraId="3CF90239" w14:textId="61B0396E" w:rsidR="00A4270F" w:rsidRDefault="00303588" w:rsidP="00DE1BB0">
      <w:r>
        <w:t xml:space="preserve">Z empirických pozorovaní </w:t>
      </w:r>
      <w:r>
        <w:t xml:space="preserve">síce </w:t>
      </w:r>
      <w:r>
        <w:t xml:space="preserve">zaznamenávame dochádzku </w:t>
      </w:r>
      <w:r>
        <w:t xml:space="preserve">cyklistickou dopravou </w:t>
      </w:r>
      <w:r>
        <w:t xml:space="preserve">aj z väčších vzdialeností, v takom prípade je ale strata času z pohľadu </w:t>
      </w:r>
      <w:proofErr w:type="spellStart"/>
      <w:r>
        <w:t>utilitnej</w:t>
      </w:r>
      <w:proofErr w:type="spellEnd"/>
      <w:r>
        <w:t xml:space="preserve"> ekonomickej teórie zrejme kompenzovaná inými, v štandardnej CBA </w:t>
      </w:r>
      <w:r>
        <w:t xml:space="preserve">bežne </w:t>
      </w:r>
      <w:r>
        <w:t>neuvažovanými faktormi (individuálnymi prínosmi a preferenciami) a </w:t>
      </w:r>
      <w:r w:rsidR="0029344A">
        <w:t xml:space="preserve">pri </w:t>
      </w:r>
      <w:r w:rsidR="0029344A">
        <w:t xml:space="preserve">modelovaní dopytu </w:t>
      </w:r>
      <w:r w:rsidR="0029344A">
        <w:t>metód</w:t>
      </w:r>
      <w:r w:rsidR="0029344A">
        <w:t>ou</w:t>
      </w:r>
      <w:r w:rsidR="0029344A">
        <w:t xml:space="preserve"> B</w:t>
      </w:r>
      <w:r w:rsidR="0029344A">
        <w:t xml:space="preserve"> </w:t>
      </w:r>
      <w:r>
        <w:t xml:space="preserve">zohľadnené priamo </w:t>
      </w:r>
      <w:r w:rsidR="0029344A">
        <w:t>pri distribúcii dochádzkových ciest</w:t>
      </w:r>
      <w:r>
        <w:t>.</w:t>
      </w:r>
      <w:r>
        <w:t xml:space="preserve"> </w:t>
      </w:r>
      <w:r w:rsidR="008D138C">
        <w:t xml:space="preserve">Súčasne je tak pre konkrétne </w:t>
      </w:r>
      <w:r w:rsidR="00EA1376">
        <w:t xml:space="preserve">zdroje a ciele a k nim príslušné </w:t>
      </w:r>
      <w:r w:rsidR="008D138C">
        <w:t xml:space="preserve">trasy </w:t>
      </w:r>
      <w:r w:rsidR="00EA1376">
        <w:t xml:space="preserve">cyklistov a IAD </w:t>
      </w:r>
      <w:r w:rsidR="008D138C">
        <w:t xml:space="preserve">možné spočítať aj reálne </w:t>
      </w:r>
      <w:r w:rsidR="00EA1376">
        <w:t>čas</w:t>
      </w:r>
      <w:r w:rsidR="00EA1376">
        <w:t xml:space="preserve">ové </w:t>
      </w:r>
      <w:r w:rsidR="008D138C">
        <w:t>úspory</w:t>
      </w:r>
      <w:r w:rsidR="00EA1376">
        <w:t>. V prípade, že je rozdiel časov negatívny, odporúčame ich uvažovať ako nulové.</w:t>
      </w:r>
    </w:p>
    <w:p w14:paraId="488A7AE0" w14:textId="1A162064" w:rsidR="0038341D" w:rsidRDefault="0038341D" w:rsidP="00DE1BB0">
      <w:r>
        <w:t>Podľa Príručky CBA je hodnota (úspor) času pri dochádzke do zamestnania 7,45 EUR/hod</w:t>
      </w:r>
      <w:r w:rsidR="0029344A">
        <w:t xml:space="preserve"> (vzhľadom na typ ciest zohľadnených v </w:t>
      </w:r>
      <w:r w:rsidR="008D138C">
        <w:t>potenciáli</w:t>
      </w:r>
      <w:r w:rsidR="0029344A">
        <w:t xml:space="preserve"> dopytu s inými účelmi </w:t>
      </w:r>
      <w:r w:rsidR="008D138C">
        <w:t xml:space="preserve">priamo </w:t>
      </w:r>
      <w:r w:rsidR="0029344A">
        <w:t>neuvažujeme)</w:t>
      </w:r>
      <w:r w:rsidR="008D138C">
        <w:t xml:space="preserve">. </w:t>
      </w:r>
    </w:p>
    <w:p w14:paraId="5DE54E9A" w14:textId="0C05B762" w:rsidR="008D138C" w:rsidRPr="00DE1BB0" w:rsidRDefault="008D138C" w:rsidP="00DE1BB0">
      <w:r w:rsidRPr="00DE1BB0">
        <w:t xml:space="preserve">Jednotkové náklady </w:t>
      </w:r>
      <w:r>
        <w:t>nehodovosti</w:t>
      </w:r>
      <w:r w:rsidRPr="00DE1BB0">
        <w:t xml:space="preserve"> sa v čase upravujú o rast HDP s elasticitou 0,</w:t>
      </w:r>
      <w:r>
        <w:t>5</w:t>
      </w:r>
      <w:r w:rsidRPr="00E53C7A">
        <w:t xml:space="preserve"> </w:t>
      </w:r>
      <w:r>
        <w:t>a o infláciu na cenovú úroveň daného roku (výstavby)</w:t>
      </w:r>
      <w:r w:rsidRPr="00DE1BB0">
        <w:t xml:space="preserve">. Pre výpočet celkových diskontovaných benefitov za celé </w:t>
      </w:r>
      <w:r>
        <w:t xml:space="preserve">návrhové obdobie 20 rokov </w:t>
      </w:r>
      <w:r w:rsidRPr="00DE1BB0">
        <w:t xml:space="preserve">možno použiť prepočtový faktor </w:t>
      </w:r>
      <w:r w:rsidRPr="002A263A">
        <w:rPr>
          <w:i/>
          <w:iCs/>
        </w:rPr>
        <w:t xml:space="preserve">KFD = </w:t>
      </w:r>
      <w:r w:rsidRPr="008D138C">
        <w:rPr>
          <w:i/>
          <w:iCs/>
          <w:highlight w:val="yellow"/>
        </w:rPr>
        <w:t>14,034</w:t>
      </w:r>
      <w:r w:rsidRPr="00DE1BB0">
        <w:t>.</w:t>
      </w:r>
    </w:p>
    <w:p w14:paraId="2EC54550" w14:textId="61AD7E45" w:rsidR="00A93BE8" w:rsidRPr="004D1ED1" w:rsidRDefault="008D6D0A" w:rsidP="007B4858">
      <w:pPr>
        <w:pStyle w:val="Nadpis3"/>
        <w:rPr>
          <w:rFonts w:asciiTheme="minorHAnsi" w:hAnsiTheme="minorHAnsi" w:cstheme="minorHAnsi"/>
          <w:u w:val="single"/>
        </w:rPr>
      </w:pPr>
      <w:r>
        <w:t>Náklady</w:t>
      </w:r>
      <w:r w:rsidR="00ED6A23" w:rsidRPr="00DE1BB0">
        <w:t xml:space="preserve"> </w:t>
      </w:r>
      <w:r w:rsidR="00A74CA3" w:rsidRPr="00DE1BB0">
        <w:t>pohonných hmôt</w:t>
      </w:r>
      <w:r w:rsidR="00A93BE8" w:rsidRPr="00DE1BB0">
        <w:t xml:space="preserve"> vozidiel</w:t>
      </w:r>
    </w:p>
    <w:p w14:paraId="60953CCC" w14:textId="45496CA0" w:rsidR="00A74CA3" w:rsidRPr="00DE1BB0" w:rsidRDefault="00311A32" w:rsidP="00DE1BB0">
      <w:r w:rsidRPr="00DE1BB0">
        <w:t xml:space="preserve">Pre cesty prevedené z pešej a hromadnej dopravy úsporu pohonných hmôt neuvažujeme (predpokladá sa, že úbytok cestujúcich kvôli projektu nemá žiaden vplyv na rozsah výkonov hromadnej dopravy). </w:t>
      </w:r>
      <w:r w:rsidR="00802D50" w:rsidRPr="00DE1BB0">
        <w:t>Pre</w:t>
      </w:r>
      <w:r w:rsidR="00303588">
        <w:t> </w:t>
      </w:r>
      <w:r w:rsidR="00ED6A23" w:rsidRPr="00DE1BB0">
        <w:t>osobné automobily</w:t>
      </w:r>
      <w:r w:rsidR="00802D50" w:rsidRPr="00DE1BB0">
        <w:t xml:space="preserve"> uvažujeme</w:t>
      </w:r>
      <w:r w:rsidR="00ED6A23" w:rsidRPr="00DE1BB0">
        <w:t xml:space="preserve"> podľa Príručky</w:t>
      </w:r>
      <w:r w:rsidR="00A74CA3" w:rsidRPr="00DE1BB0">
        <w:t xml:space="preserve"> v závislosti od </w:t>
      </w:r>
      <w:r w:rsidR="00ED6A23" w:rsidRPr="00DE1BB0">
        <w:t>lokality</w:t>
      </w:r>
      <w:r w:rsidR="00A74CA3" w:rsidRPr="00DE1BB0">
        <w:t xml:space="preserve"> záujmového územia či konkrétnej dochádzkovej relácie (zdroj-cieľ) priemernú spotrebu:</w:t>
      </w:r>
    </w:p>
    <w:p w14:paraId="553C2B0C" w14:textId="59364E58" w:rsidR="00802D50" w:rsidRPr="004D1ED1" w:rsidRDefault="00A74CA3" w:rsidP="00F47BC0">
      <w:pPr>
        <w:pStyle w:val="Odsekzoznamu"/>
      </w:pPr>
      <w:r w:rsidRPr="004D1ED1">
        <w:t>v centrálnom mestskom prostredí 0,102 litra / km</w:t>
      </w:r>
      <w:r w:rsidR="000267BD" w:rsidRPr="004D1ED1">
        <w:t xml:space="preserve"> (pri priemernej rýchlosti 20 km/h)</w:t>
      </w:r>
    </w:p>
    <w:p w14:paraId="3230B775" w14:textId="02D0F673" w:rsidR="000267BD" w:rsidRPr="004D1ED1" w:rsidRDefault="000267BD" w:rsidP="00F47BC0">
      <w:pPr>
        <w:pStyle w:val="Odsekzoznamu"/>
      </w:pPr>
      <w:r w:rsidRPr="004D1ED1">
        <w:t>v bežnom mestskom prostredí 0,075 litra / km (pri priemernej rýchlosti 40 km/h)</w:t>
      </w:r>
    </w:p>
    <w:p w14:paraId="1FAA5179" w14:textId="786C028F" w:rsidR="000267BD" w:rsidRPr="004D1ED1" w:rsidRDefault="000267BD" w:rsidP="00F47BC0">
      <w:pPr>
        <w:pStyle w:val="Odsekzoznamu"/>
      </w:pPr>
      <w:r w:rsidRPr="004D1ED1">
        <w:t>v extraviláne 0,059 litra / km (pri priemernej rýchlosti 80 km/h)</w:t>
      </w:r>
    </w:p>
    <w:p w14:paraId="60287EB0" w14:textId="28645B14" w:rsidR="008866FA" w:rsidRPr="00DE1BB0" w:rsidRDefault="000267BD" w:rsidP="00DE1BB0">
      <w:r w:rsidRPr="00DE1BB0">
        <w:t xml:space="preserve">Odporúčaná ekonomická tieňová cena (bez súvisiacich daní) je podľa Príručky CBA v prípade benzínu 0,523 EUR/liter a v prípade nafty 0,570 EUR/liter, pričom pomer vozidiel s benzínovým a dieselovým pohonom  </w:t>
      </w:r>
      <w:r w:rsidRPr="007D23E8">
        <w:t>je 75:25</w:t>
      </w:r>
      <w:r w:rsidRPr="00DE1BB0">
        <w:t>.</w:t>
      </w:r>
      <w:r w:rsidR="00311A32" w:rsidRPr="00DE1BB0">
        <w:t xml:space="preserve"> </w:t>
      </w:r>
    </w:p>
    <w:p w14:paraId="2A2DD7AD" w14:textId="480EBDE8" w:rsidR="009F5297" w:rsidRPr="004D1ED1" w:rsidRDefault="009F5297" w:rsidP="007B4858">
      <w:r w:rsidRPr="004D1ED1">
        <w:t xml:space="preserve">Po prepočte na základe týchto predpokladov možno </w:t>
      </w:r>
      <w:r w:rsidR="0067510F" w:rsidRPr="004D1ED1">
        <w:t xml:space="preserve">použiť (pre podiel prevedených kilometrov z IAD) </w:t>
      </w:r>
      <w:r w:rsidRPr="004D1ED1">
        <w:t xml:space="preserve">nasledovné hodnoty úspor </w:t>
      </w:r>
      <w:r w:rsidR="00ED6A23" w:rsidRPr="004D1ED1">
        <w:t xml:space="preserve">nákladov na </w:t>
      </w:r>
      <w:r w:rsidRPr="004D1ED1">
        <w:t>pohonn</w:t>
      </w:r>
      <w:r w:rsidR="00ED6A23" w:rsidRPr="004D1ED1">
        <w:t>é</w:t>
      </w:r>
      <w:r w:rsidRPr="004D1ED1">
        <w:t xml:space="preserve"> hm</w:t>
      </w:r>
      <w:r w:rsidR="00ED6A23" w:rsidRPr="004D1ED1">
        <w:t>oty</w:t>
      </w:r>
      <w:r w:rsidRPr="004D1ED1">
        <w:t xml:space="preserve"> vozidiel v závislosti od prostredia:</w:t>
      </w:r>
    </w:p>
    <w:p w14:paraId="50CB1B15" w14:textId="1C513B05" w:rsidR="009F5297" w:rsidRPr="004D1ED1" w:rsidRDefault="009F5297" w:rsidP="00F47BC0">
      <w:pPr>
        <w:pStyle w:val="Odsekzoznamu"/>
      </w:pPr>
      <w:r w:rsidRPr="004D1ED1">
        <w:t xml:space="preserve">v centrálnom mestskom prostredí </w:t>
      </w:r>
      <w:r w:rsidR="0067510F" w:rsidRPr="004D1ED1">
        <w:t>5,45</w:t>
      </w:r>
      <w:r w:rsidRPr="004D1ED1">
        <w:t xml:space="preserve"> </w:t>
      </w:r>
      <w:r w:rsidR="0067510F" w:rsidRPr="004D1ED1">
        <w:t>EUR</w:t>
      </w:r>
      <w:r w:rsidRPr="004D1ED1">
        <w:t xml:space="preserve"> / </w:t>
      </w:r>
      <w:r w:rsidR="0067510F" w:rsidRPr="004D1ED1">
        <w:t xml:space="preserve">100 </w:t>
      </w:r>
      <w:r w:rsidRPr="004D1ED1">
        <w:t>km</w:t>
      </w:r>
      <w:r w:rsidR="0067510F" w:rsidRPr="004D1ED1">
        <w:t xml:space="preserve"> prevedených z IAD</w:t>
      </w:r>
    </w:p>
    <w:p w14:paraId="1ADAC661" w14:textId="3EBA2E12" w:rsidR="009F5297" w:rsidRPr="004D1ED1" w:rsidRDefault="009F5297" w:rsidP="00F47BC0">
      <w:pPr>
        <w:pStyle w:val="Odsekzoznamu"/>
      </w:pPr>
      <w:r w:rsidRPr="004D1ED1">
        <w:t xml:space="preserve">v bežnom mestskom prostredí </w:t>
      </w:r>
      <w:r w:rsidR="00D4055E" w:rsidRPr="004D1ED1">
        <w:t>4,00</w:t>
      </w:r>
      <w:r w:rsidRPr="004D1ED1">
        <w:t xml:space="preserve"> </w:t>
      </w:r>
      <w:r w:rsidR="00D4055E" w:rsidRPr="004D1ED1">
        <w:t>EUR / 100 km prevedených z IAD</w:t>
      </w:r>
    </w:p>
    <w:p w14:paraId="55F9313B" w14:textId="006E31BE" w:rsidR="009F5297" w:rsidRPr="004D1ED1" w:rsidRDefault="009F5297" w:rsidP="00F47BC0">
      <w:pPr>
        <w:pStyle w:val="Odsekzoznamu"/>
      </w:pPr>
      <w:r w:rsidRPr="004D1ED1">
        <w:t xml:space="preserve">v extraviláne </w:t>
      </w:r>
      <w:r w:rsidR="00D4055E" w:rsidRPr="004D1ED1">
        <w:t>3,15</w:t>
      </w:r>
      <w:r w:rsidRPr="004D1ED1">
        <w:t xml:space="preserve"> </w:t>
      </w:r>
      <w:r w:rsidR="00D4055E" w:rsidRPr="004D1ED1">
        <w:t>EUR / 100 km prevedených z IAD</w:t>
      </w:r>
    </w:p>
    <w:p w14:paraId="52435005" w14:textId="55599A5B" w:rsidR="00107EA8" w:rsidRPr="003565F8" w:rsidRDefault="009F5297" w:rsidP="003565F8">
      <w:pPr>
        <w:pStyle w:val="Poznmka"/>
      </w:pPr>
      <w:r w:rsidRPr="003565F8">
        <w:t>Pozn.: Medzi týmito hodnotami možno interpolovať s</w:t>
      </w:r>
      <w:r w:rsidR="00D4055E" w:rsidRPr="003565F8">
        <w:t> </w:t>
      </w:r>
      <w:r w:rsidRPr="003565F8">
        <w:t xml:space="preserve">prihliadnutím na podiely </w:t>
      </w:r>
      <w:r w:rsidR="003003F2" w:rsidRPr="003565F8">
        <w:t xml:space="preserve">počtu </w:t>
      </w:r>
      <w:r w:rsidRPr="003565F8">
        <w:t xml:space="preserve">dochádzajúcich </w:t>
      </w:r>
      <w:r w:rsidR="003003F2" w:rsidRPr="003565F8">
        <w:t xml:space="preserve">a podiely úsekov trás </w:t>
      </w:r>
      <w:r w:rsidRPr="003565F8">
        <w:t>v príslušnom prostredí.</w:t>
      </w:r>
      <w:r w:rsidR="00107EA8" w:rsidRPr="003565F8">
        <w:t xml:space="preserve"> </w:t>
      </w:r>
    </w:p>
    <w:p w14:paraId="1A0B868A" w14:textId="171301FC" w:rsidR="009F5297" w:rsidRPr="004D1ED1" w:rsidRDefault="00107EA8" w:rsidP="007B4858">
      <w:r w:rsidRPr="004D1ED1">
        <w:t xml:space="preserve">Jednotkové spotreby, pomer vozidiel podľa pohonu a ani ceny sa v čase neupravujú, preto pre výpočet celkových benefitov za celé </w:t>
      </w:r>
      <w:r w:rsidR="003003F2">
        <w:t xml:space="preserve">návrhové obdobie 20 rokov </w:t>
      </w:r>
      <w:r w:rsidRPr="004D1ED1">
        <w:t xml:space="preserve">možno použiť prepočtový faktor </w:t>
      </w:r>
      <w:r w:rsidR="002A263A" w:rsidRPr="002A263A">
        <w:rPr>
          <w:i/>
          <w:iCs/>
        </w:rPr>
        <w:t xml:space="preserve">KFD = </w:t>
      </w:r>
      <w:r w:rsidR="002A263A">
        <w:rPr>
          <w:i/>
          <w:iCs/>
        </w:rPr>
        <w:t>12,462</w:t>
      </w:r>
      <w:r w:rsidRPr="004D1ED1">
        <w:t>.</w:t>
      </w:r>
    </w:p>
    <w:p w14:paraId="74513C30" w14:textId="552193E9" w:rsidR="00A74CA3" w:rsidRPr="00DE1BB0" w:rsidRDefault="008D6D0A" w:rsidP="007B4858">
      <w:pPr>
        <w:pStyle w:val="Nadpis3"/>
      </w:pPr>
      <w:r>
        <w:t>O</w:t>
      </w:r>
      <w:r w:rsidR="00A74CA3" w:rsidRPr="00DE1BB0">
        <w:t>statn</w:t>
      </w:r>
      <w:r>
        <w:t>é</w:t>
      </w:r>
      <w:r w:rsidR="00A74CA3" w:rsidRPr="00DE1BB0">
        <w:t xml:space="preserve"> prevádzkov</w:t>
      </w:r>
      <w:r>
        <w:t>é</w:t>
      </w:r>
      <w:r w:rsidR="00A74CA3" w:rsidRPr="00DE1BB0">
        <w:t xml:space="preserve"> náklad</w:t>
      </w:r>
      <w:r>
        <w:t>y</w:t>
      </w:r>
      <w:r w:rsidR="00A74CA3" w:rsidRPr="00DE1BB0">
        <w:t xml:space="preserve"> vozidiel</w:t>
      </w:r>
    </w:p>
    <w:p w14:paraId="7C51D8AF" w14:textId="16BFB42F" w:rsidR="00A74CA3" w:rsidRPr="007B4858" w:rsidRDefault="00ED6A23" w:rsidP="003565F8">
      <w:r w:rsidRPr="007B4858">
        <w:t xml:space="preserve">Obdobne ako v predchádzajúcej položke, v prípade hromadnej dopravy s úsporou ostatných prevádzkových nákladov vozidiel neuvažujeme. </w:t>
      </w:r>
      <w:r w:rsidR="00311A32" w:rsidRPr="007B4858">
        <w:t xml:space="preserve">Podľa Príručky CBA predstavujú priemerné jednotkové ostatné náklady na prevádzku osobných automobilov v závislosti od typu pohonu: </w:t>
      </w:r>
    </w:p>
    <w:p w14:paraId="4D0C1571" w14:textId="5A8A8B4B" w:rsidR="00ED6A23" w:rsidRPr="007B4858" w:rsidRDefault="00ED6A23" w:rsidP="007B4858">
      <w:pPr>
        <w:pStyle w:val="Odsekzoznamu"/>
      </w:pPr>
      <w:r w:rsidRPr="007B4858">
        <w:t>pre benzínové vozidlá 0,041 EUR/km a 3,643 EUR/hodinu</w:t>
      </w:r>
    </w:p>
    <w:p w14:paraId="1C473FA9" w14:textId="02C6D497" w:rsidR="00ED6A23" w:rsidRPr="007B4858" w:rsidRDefault="00ED6A23" w:rsidP="007B4858">
      <w:pPr>
        <w:pStyle w:val="Odsekzoznamu"/>
      </w:pPr>
      <w:r w:rsidRPr="007B4858">
        <w:t>pre dieselové vozidlá 0,034 EUR/km a 2,429 EUR/hodinu</w:t>
      </w:r>
    </w:p>
    <w:p w14:paraId="4699CA03" w14:textId="7526361A" w:rsidR="00B2528E" w:rsidRPr="007B4858" w:rsidRDefault="00ED6A23" w:rsidP="003565F8">
      <w:r w:rsidRPr="007B4858">
        <w:lastRenderedPageBreak/>
        <w:t>Po prepočte v zmysle vyššie uvedených predpokladov možno použiť priamo (čisto pre podiel prevedených kilometrov z IAD) hodnoty úspor ostatných prevádzkových nákladov vozidiel v závislosti od prostredia</w:t>
      </w:r>
      <w:r w:rsidR="005E01B2" w:rsidRPr="007B4858">
        <w:t xml:space="preserve"> a priemernej dĺžky cesty v záujmovom území, resp. skutočnej dĺžky trasy pre danú reláciu zdroj-cieľ </w:t>
      </w:r>
      <w:r w:rsidR="005E01B2" w:rsidRPr="007D23E8">
        <w:t>podľa tabuľky 2</w:t>
      </w:r>
      <w:r w:rsidR="00B2528E" w:rsidRPr="007D23E8">
        <w:t>.</w:t>
      </w:r>
      <w:r w:rsidR="00B2528E" w:rsidRPr="007B4858">
        <w:t xml:space="preserve"> </w:t>
      </w:r>
    </w:p>
    <w:p w14:paraId="4272D0C7" w14:textId="505012BD" w:rsidR="005E01B2" w:rsidRPr="00492426" w:rsidRDefault="005E01B2" w:rsidP="00492426">
      <w:pPr>
        <w:pStyle w:val="Nadpis5"/>
        <w:rPr>
          <w:rStyle w:val="Intenzvnezvraznenie"/>
          <w:i/>
          <w:iCs w:val="0"/>
          <w:color w:val="2E74B5" w:themeColor="accent1" w:themeShade="BF"/>
        </w:rPr>
      </w:pPr>
      <w:r w:rsidRPr="00492426">
        <w:rPr>
          <w:rStyle w:val="Intenzvnezvraznenie"/>
          <w:i/>
          <w:iCs w:val="0"/>
          <w:color w:val="2E74B5" w:themeColor="accent1" w:themeShade="BF"/>
        </w:rPr>
        <w:t>Tab. 2 Odporúčané hodnoty úspor prevádzkových nákladov osobných automobilov (EUR/100 voz.km)</w:t>
      </w:r>
    </w:p>
    <w:tbl>
      <w:tblPr>
        <w:tblStyle w:val="Mriekatabuky"/>
        <w:tblW w:w="9126" w:type="dxa"/>
        <w:tblLayout w:type="fixed"/>
        <w:tblCellMar>
          <w:left w:w="85" w:type="dxa"/>
          <w:right w:w="85" w:type="dxa"/>
        </w:tblCellMar>
        <w:tblLook w:val="04A0" w:firstRow="1" w:lastRow="0" w:firstColumn="1" w:lastColumn="0" w:noHBand="0" w:noVBand="1"/>
      </w:tblPr>
      <w:tblGrid>
        <w:gridCol w:w="1413"/>
        <w:gridCol w:w="642"/>
        <w:gridCol w:w="643"/>
        <w:gridCol w:w="643"/>
        <w:gridCol w:w="643"/>
        <w:gridCol w:w="642"/>
        <w:gridCol w:w="643"/>
        <w:gridCol w:w="643"/>
        <w:gridCol w:w="643"/>
        <w:gridCol w:w="642"/>
        <w:gridCol w:w="643"/>
        <w:gridCol w:w="643"/>
        <w:gridCol w:w="643"/>
      </w:tblGrid>
      <w:tr w:rsidR="00EC0230" w:rsidRPr="004D1ED1" w14:paraId="243FEC29" w14:textId="77777777" w:rsidTr="002E771B">
        <w:tc>
          <w:tcPr>
            <w:tcW w:w="1413" w:type="dxa"/>
          </w:tcPr>
          <w:p w14:paraId="1CEDF360" w14:textId="31964C4A" w:rsidR="00EC0230" w:rsidRPr="00F47BC0" w:rsidRDefault="00EC0230" w:rsidP="00F47BC0">
            <w:pPr>
              <w:pStyle w:val="Bezriadkovania"/>
              <w:rPr>
                <w:szCs w:val="20"/>
              </w:rPr>
            </w:pPr>
            <w:r w:rsidRPr="00F47BC0">
              <w:rPr>
                <w:szCs w:val="20"/>
              </w:rPr>
              <w:t>dĺžka c</w:t>
            </w:r>
            <w:r w:rsidR="00BD7E64">
              <w:rPr>
                <w:szCs w:val="20"/>
              </w:rPr>
              <w:t>esty</w:t>
            </w:r>
            <w:r w:rsidR="002E771B" w:rsidRPr="00F47BC0">
              <w:rPr>
                <w:szCs w:val="20"/>
              </w:rPr>
              <w:t xml:space="preserve"> km</w:t>
            </w:r>
          </w:p>
          <w:p w14:paraId="49C03FA8" w14:textId="2686CA5E" w:rsidR="002E771B" w:rsidRPr="00F47BC0" w:rsidRDefault="002E771B" w:rsidP="00F47BC0">
            <w:pPr>
              <w:pStyle w:val="Bezriadkovania"/>
              <w:rPr>
                <w:szCs w:val="20"/>
              </w:rPr>
            </w:pPr>
            <w:r w:rsidRPr="00F47BC0">
              <w:rPr>
                <w:szCs w:val="20"/>
              </w:rPr>
              <w:t>prostredie</w:t>
            </w:r>
          </w:p>
        </w:tc>
        <w:tc>
          <w:tcPr>
            <w:tcW w:w="642" w:type="dxa"/>
          </w:tcPr>
          <w:p w14:paraId="6F56DB68" w14:textId="1A14AC29" w:rsidR="00EC0230" w:rsidRPr="00F47BC0" w:rsidRDefault="00EC0230" w:rsidP="00F47BC0">
            <w:pPr>
              <w:pStyle w:val="Bezriadkovania"/>
              <w:rPr>
                <w:szCs w:val="20"/>
              </w:rPr>
            </w:pPr>
            <w:r w:rsidRPr="00F47BC0">
              <w:rPr>
                <w:szCs w:val="20"/>
              </w:rPr>
              <w:t>1</w:t>
            </w:r>
          </w:p>
        </w:tc>
        <w:tc>
          <w:tcPr>
            <w:tcW w:w="643" w:type="dxa"/>
          </w:tcPr>
          <w:p w14:paraId="722C1AA4" w14:textId="50095D5D" w:rsidR="00EC0230" w:rsidRPr="00F47BC0" w:rsidRDefault="00EC0230" w:rsidP="00F47BC0">
            <w:pPr>
              <w:pStyle w:val="Bezriadkovania"/>
              <w:rPr>
                <w:szCs w:val="20"/>
              </w:rPr>
            </w:pPr>
            <w:r w:rsidRPr="00F47BC0">
              <w:rPr>
                <w:szCs w:val="20"/>
              </w:rPr>
              <w:t>2</w:t>
            </w:r>
          </w:p>
        </w:tc>
        <w:tc>
          <w:tcPr>
            <w:tcW w:w="643" w:type="dxa"/>
          </w:tcPr>
          <w:p w14:paraId="2106FB25" w14:textId="0FF58A1B" w:rsidR="00EC0230" w:rsidRPr="00F47BC0" w:rsidRDefault="00EC0230" w:rsidP="00F47BC0">
            <w:pPr>
              <w:pStyle w:val="Bezriadkovania"/>
              <w:rPr>
                <w:szCs w:val="20"/>
              </w:rPr>
            </w:pPr>
            <w:r w:rsidRPr="00F47BC0">
              <w:rPr>
                <w:szCs w:val="20"/>
              </w:rPr>
              <w:t>3</w:t>
            </w:r>
          </w:p>
        </w:tc>
        <w:tc>
          <w:tcPr>
            <w:tcW w:w="643" w:type="dxa"/>
          </w:tcPr>
          <w:p w14:paraId="23DD6DC5" w14:textId="305AE8E4" w:rsidR="00EC0230" w:rsidRPr="00F47BC0" w:rsidRDefault="00EC0230" w:rsidP="00F47BC0">
            <w:pPr>
              <w:pStyle w:val="Bezriadkovania"/>
              <w:rPr>
                <w:szCs w:val="20"/>
              </w:rPr>
            </w:pPr>
            <w:r w:rsidRPr="00F47BC0">
              <w:rPr>
                <w:szCs w:val="20"/>
              </w:rPr>
              <w:t>4</w:t>
            </w:r>
          </w:p>
        </w:tc>
        <w:tc>
          <w:tcPr>
            <w:tcW w:w="642" w:type="dxa"/>
          </w:tcPr>
          <w:p w14:paraId="00C8E24E" w14:textId="22BD2AD2" w:rsidR="00EC0230" w:rsidRPr="00F47BC0" w:rsidRDefault="00EC0230" w:rsidP="00F47BC0">
            <w:pPr>
              <w:pStyle w:val="Bezriadkovania"/>
              <w:rPr>
                <w:szCs w:val="20"/>
              </w:rPr>
            </w:pPr>
            <w:r w:rsidRPr="00F47BC0">
              <w:rPr>
                <w:szCs w:val="20"/>
              </w:rPr>
              <w:t>5</w:t>
            </w:r>
          </w:p>
        </w:tc>
        <w:tc>
          <w:tcPr>
            <w:tcW w:w="643" w:type="dxa"/>
          </w:tcPr>
          <w:p w14:paraId="359E859B" w14:textId="5019879A" w:rsidR="00EC0230" w:rsidRPr="00F47BC0" w:rsidRDefault="00EC0230" w:rsidP="00F47BC0">
            <w:pPr>
              <w:pStyle w:val="Bezriadkovania"/>
              <w:rPr>
                <w:szCs w:val="20"/>
              </w:rPr>
            </w:pPr>
            <w:r w:rsidRPr="00F47BC0">
              <w:rPr>
                <w:szCs w:val="20"/>
              </w:rPr>
              <w:t>6</w:t>
            </w:r>
          </w:p>
        </w:tc>
        <w:tc>
          <w:tcPr>
            <w:tcW w:w="643" w:type="dxa"/>
          </w:tcPr>
          <w:p w14:paraId="1D7858CA" w14:textId="451B8629" w:rsidR="00EC0230" w:rsidRPr="00F47BC0" w:rsidRDefault="00EC0230" w:rsidP="00F47BC0">
            <w:pPr>
              <w:pStyle w:val="Bezriadkovania"/>
              <w:rPr>
                <w:szCs w:val="20"/>
              </w:rPr>
            </w:pPr>
            <w:r w:rsidRPr="00F47BC0">
              <w:rPr>
                <w:szCs w:val="20"/>
              </w:rPr>
              <w:t>7</w:t>
            </w:r>
          </w:p>
        </w:tc>
        <w:tc>
          <w:tcPr>
            <w:tcW w:w="643" w:type="dxa"/>
          </w:tcPr>
          <w:p w14:paraId="2CF2F548" w14:textId="5313A589" w:rsidR="00EC0230" w:rsidRPr="00F47BC0" w:rsidRDefault="00EC0230" w:rsidP="00F47BC0">
            <w:pPr>
              <w:pStyle w:val="Bezriadkovania"/>
              <w:rPr>
                <w:szCs w:val="20"/>
              </w:rPr>
            </w:pPr>
            <w:r w:rsidRPr="00F47BC0">
              <w:rPr>
                <w:szCs w:val="20"/>
              </w:rPr>
              <w:t>8</w:t>
            </w:r>
          </w:p>
        </w:tc>
        <w:tc>
          <w:tcPr>
            <w:tcW w:w="642" w:type="dxa"/>
          </w:tcPr>
          <w:p w14:paraId="7FB891F6" w14:textId="40FEFB4F" w:rsidR="00EC0230" w:rsidRPr="00F47BC0" w:rsidRDefault="00EC0230" w:rsidP="00F47BC0">
            <w:pPr>
              <w:pStyle w:val="Bezriadkovania"/>
              <w:rPr>
                <w:szCs w:val="20"/>
              </w:rPr>
            </w:pPr>
            <w:r w:rsidRPr="00F47BC0">
              <w:rPr>
                <w:szCs w:val="20"/>
              </w:rPr>
              <w:t>9</w:t>
            </w:r>
          </w:p>
        </w:tc>
        <w:tc>
          <w:tcPr>
            <w:tcW w:w="643" w:type="dxa"/>
          </w:tcPr>
          <w:p w14:paraId="66C47D28" w14:textId="2A793A45" w:rsidR="00EC0230" w:rsidRPr="00F47BC0" w:rsidRDefault="00EC0230" w:rsidP="00F47BC0">
            <w:pPr>
              <w:pStyle w:val="Bezriadkovania"/>
              <w:rPr>
                <w:szCs w:val="20"/>
              </w:rPr>
            </w:pPr>
            <w:r w:rsidRPr="00F47BC0">
              <w:rPr>
                <w:szCs w:val="20"/>
              </w:rPr>
              <w:t>10</w:t>
            </w:r>
          </w:p>
        </w:tc>
        <w:tc>
          <w:tcPr>
            <w:tcW w:w="643" w:type="dxa"/>
          </w:tcPr>
          <w:p w14:paraId="1B024BDD" w14:textId="022716AF" w:rsidR="00EC0230" w:rsidRPr="00F47BC0" w:rsidRDefault="00EC0230" w:rsidP="00F47BC0">
            <w:pPr>
              <w:pStyle w:val="Bezriadkovania"/>
              <w:rPr>
                <w:szCs w:val="20"/>
              </w:rPr>
            </w:pPr>
            <w:r w:rsidRPr="00F47BC0">
              <w:rPr>
                <w:szCs w:val="20"/>
              </w:rPr>
              <w:t>11</w:t>
            </w:r>
          </w:p>
        </w:tc>
        <w:tc>
          <w:tcPr>
            <w:tcW w:w="643" w:type="dxa"/>
          </w:tcPr>
          <w:p w14:paraId="42251914" w14:textId="32DC7F97" w:rsidR="00EC0230" w:rsidRPr="00F47BC0" w:rsidRDefault="00EC0230" w:rsidP="00F47BC0">
            <w:pPr>
              <w:pStyle w:val="Bezriadkovania"/>
              <w:rPr>
                <w:szCs w:val="20"/>
              </w:rPr>
            </w:pPr>
            <w:r w:rsidRPr="00F47BC0">
              <w:rPr>
                <w:szCs w:val="20"/>
              </w:rPr>
              <w:t>12</w:t>
            </w:r>
          </w:p>
        </w:tc>
      </w:tr>
      <w:tr w:rsidR="00B2528E" w:rsidRPr="004D1ED1" w14:paraId="7BA0199D" w14:textId="77777777" w:rsidTr="002E771B">
        <w:tc>
          <w:tcPr>
            <w:tcW w:w="1413" w:type="dxa"/>
          </w:tcPr>
          <w:p w14:paraId="435396D8" w14:textId="50AE5F92" w:rsidR="00B2528E" w:rsidRPr="00F47BC0" w:rsidRDefault="00B2528E" w:rsidP="00F47BC0">
            <w:pPr>
              <w:pStyle w:val="Bezriadkovania"/>
              <w:rPr>
                <w:szCs w:val="20"/>
              </w:rPr>
            </w:pPr>
            <w:r w:rsidRPr="00F47BC0">
              <w:rPr>
                <w:szCs w:val="20"/>
              </w:rPr>
              <w:t>centrálne</w:t>
            </w:r>
          </w:p>
        </w:tc>
        <w:tc>
          <w:tcPr>
            <w:tcW w:w="642" w:type="dxa"/>
            <w:vAlign w:val="bottom"/>
          </w:tcPr>
          <w:p w14:paraId="78CEADEA" w14:textId="57C1FF53" w:rsidR="00B2528E" w:rsidRPr="00F47BC0" w:rsidRDefault="00B2528E" w:rsidP="00F47BC0">
            <w:pPr>
              <w:pStyle w:val="Bezriadkovania"/>
              <w:rPr>
                <w:szCs w:val="20"/>
              </w:rPr>
            </w:pPr>
            <w:r w:rsidRPr="00F47BC0">
              <w:rPr>
                <w:szCs w:val="20"/>
              </w:rPr>
              <w:t>4,054</w:t>
            </w:r>
          </w:p>
        </w:tc>
        <w:tc>
          <w:tcPr>
            <w:tcW w:w="643" w:type="dxa"/>
            <w:vAlign w:val="bottom"/>
          </w:tcPr>
          <w:p w14:paraId="2BF2D4DB" w14:textId="486CED5E" w:rsidR="00B2528E" w:rsidRPr="00F47BC0" w:rsidRDefault="00B2528E" w:rsidP="00F47BC0">
            <w:pPr>
              <w:pStyle w:val="Bezriadkovania"/>
              <w:rPr>
                <w:szCs w:val="20"/>
              </w:rPr>
            </w:pPr>
            <w:r w:rsidRPr="00F47BC0">
              <w:rPr>
                <w:szCs w:val="20"/>
              </w:rPr>
              <w:t>4,221</w:t>
            </w:r>
          </w:p>
        </w:tc>
        <w:tc>
          <w:tcPr>
            <w:tcW w:w="643" w:type="dxa"/>
            <w:vAlign w:val="bottom"/>
          </w:tcPr>
          <w:p w14:paraId="1DDCB04D" w14:textId="15DAFD4D" w:rsidR="00B2528E" w:rsidRPr="00F47BC0" w:rsidRDefault="00B2528E" w:rsidP="00F47BC0">
            <w:pPr>
              <w:pStyle w:val="Bezriadkovania"/>
              <w:rPr>
                <w:szCs w:val="20"/>
              </w:rPr>
            </w:pPr>
            <w:r w:rsidRPr="00F47BC0">
              <w:rPr>
                <w:szCs w:val="20"/>
              </w:rPr>
              <w:t>4,388</w:t>
            </w:r>
          </w:p>
        </w:tc>
        <w:tc>
          <w:tcPr>
            <w:tcW w:w="643" w:type="dxa"/>
            <w:vAlign w:val="bottom"/>
          </w:tcPr>
          <w:p w14:paraId="36642C2D" w14:textId="0D3437C3" w:rsidR="00B2528E" w:rsidRPr="00F47BC0" w:rsidRDefault="00B2528E" w:rsidP="00F47BC0">
            <w:pPr>
              <w:pStyle w:val="Bezriadkovania"/>
              <w:rPr>
                <w:szCs w:val="20"/>
              </w:rPr>
            </w:pPr>
            <w:r w:rsidRPr="00F47BC0">
              <w:rPr>
                <w:szCs w:val="20"/>
              </w:rPr>
              <w:t>4,556</w:t>
            </w:r>
          </w:p>
        </w:tc>
        <w:tc>
          <w:tcPr>
            <w:tcW w:w="642" w:type="dxa"/>
            <w:vAlign w:val="bottom"/>
          </w:tcPr>
          <w:p w14:paraId="3BFF88A6" w14:textId="274BDD94" w:rsidR="00B2528E" w:rsidRPr="00F47BC0" w:rsidRDefault="00B2528E" w:rsidP="00F47BC0">
            <w:pPr>
              <w:pStyle w:val="Bezriadkovania"/>
              <w:rPr>
                <w:szCs w:val="20"/>
              </w:rPr>
            </w:pPr>
            <w:r w:rsidRPr="00F47BC0">
              <w:rPr>
                <w:szCs w:val="20"/>
              </w:rPr>
              <w:t>4,723</w:t>
            </w:r>
          </w:p>
        </w:tc>
        <w:tc>
          <w:tcPr>
            <w:tcW w:w="643" w:type="dxa"/>
            <w:vAlign w:val="bottom"/>
          </w:tcPr>
          <w:p w14:paraId="552A1B06" w14:textId="248030E9" w:rsidR="00B2528E" w:rsidRPr="00F47BC0" w:rsidRDefault="00B2528E" w:rsidP="00F47BC0">
            <w:pPr>
              <w:pStyle w:val="Bezriadkovania"/>
              <w:rPr>
                <w:szCs w:val="20"/>
              </w:rPr>
            </w:pPr>
            <w:r w:rsidRPr="00F47BC0">
              <w:rPr>
                <w:szCs w:val="20"/>
              </w:rPr>
              <w:t>4,890</w:t>
            </w:r>
          </w:p>
        </w:tc>
        <w:tc>
          <w:tcPr>
            <w:tcW w:w="643" w:type="dxa"/>
            <w:vAlign w:val="bottom"/>
          </w:tcPr>
          <w:p w14:paraId="4B5BA366" w14:textId="64E132AF" w:rsidR="00B2528E" w:rsidRPr="00F47BC0" w:rsidRDefault="00B2528E" w:rsidP="00F47BC0">
            <w:pPr>
              <w:pStyle w:val="Bezriadkovania"/>
              <w:rPr>
                <w:szCs w:val="20"/>
              </w:rPr>
            </w:pPr>
            <w:r w:rsidRPr="00F47BC0">
              <w:rPr>
                <w:szCs w:val="20"/>
              </w:rPr>
              <w:t>5,058</w:t>
            </w:r>
          </w:p>
        </w:tc>
        <w:tc>
          <w:tcPr>
            <w:tcW w:w="643" w:type="dxa"/>
            <w:vAlign w:val="bottom"/>
          </w:tcPr>
          <w:p w14:paraId="15986151" w14:textId="2E624DD3" w:rsidR="00B2528E" w:rsidRPr="00F47BC0" w:rsidRDefault="00B2528E" w:rsidP="00F47BC0">
            <w:pPr>
              <w:pStyle w:val="Bezriadkovania"/>
              <w:rPr>
                <w:szCs w:val="20"/>
              </w:rPr>
            </w:pPr>
            <w:r w:rsidRPr="00F47BC0">
              <w:rPr>
                <w:szCs w:val="20"/>
              </w:rPr>
              <w:t>5,225</w:t>
            </w:r>
          </w:p>
        </w:tc>
        <w:tc>
          <w:tcPr>
            <w:tcW w:w="642" w:type="dxa"/>
            <w:vAlign w:val="bottom"/>
          </w:tcPr>
          <w:p w14:paraId="11DA0B10" w14:textId="0C5060DC" w:rsidR="00B2528E" w:rsidRPr="00F47BC0" w:rsidRDefault="00B2528E" w:rsidP="00F47BC0">
            <w:pPr>
              <w:pStyle w:val="Bezriadkovania"/>
              <w:rPr>
                <w:szCs w:val="20"/>
              </w:rPr>
            </w:pPr>
            <w:r w:rsidRPr="00F47BC0">
              <w:rPr>
                <w:szCs w:val="20"/>
              </w:rPr>
              <w:t>5,393</w:t>
            </w:r>
          </w:p>
        </w:tc>
        <w:tc>
          <w:tcPr>
            <w:tcW w:w="643" w:type="dxa"/>
            <w:vAlign w:val="bottom"/>
          </w:tcPr>
          <w:p w14:paraId="74E725D9" w14:textId="02A09D29" w:rsidR="00B2528E" w:rsidRPr="00F47BC0" w:rsidRDefault="00B2528E" w:rsidP="00F47BC0">
            <w:pPr>
              <w:pStyle w:val="Bezriadkovania"/>
              <w:rPr>
                <w:szCs w:val="20"/>
              </w:rPr>
            </w:pPr>
            <w:r w:rsidRPr="00F47BC0">
              <w:rPr>
                <w:szCs w:val="20"/>
              </w:rPr>
              <w:t>5,560</w:t>
            </w:r>
          </w:p>
        </w:tc>
        <w:tc>
          <w:tcPr>
            <w:tcW w:w="643" w:type="dxa"/>
            <w:vAlign w:val="bottom"/>
          </w:tcPr>
          <w:p w14:paraId="62A3E925" w14:textId="66B9DB13" w:rsidR="00B2528E" w:rsidRPr="00F47BC0" w:rsidRDefault="00B2528E" w:rsidP="00F47BC0">
            <w:pPr>
              <w:pStyle w:val="Bezriadkovania"/>
              <w:rPr>
                <w:szCs w:val="20"/>
              </w:rPr>
            </w:pPr>
            <w:r w:rsidRPr="00F47BC0">
              <w:rPr>
                <w:szCs w:val="20"/>
              </w:rPr>
              <w:t>5,727</w:t>
            </w:r>
          </w:p>
        </w:tc>
        <w:tc>
          <w:tcPr>
            <w:tcW w:w="643" w:type="dxa"/>
            <w:vAlign w:val="bottom"/>
          </w:tcPr>
          <w:p w14:paraId="45341F43" w14:textId="0316560E" w:rsidR="00B2528E" w:rsidRPr="00F47BC0" w:rsidRDefault="00B2528E" w:rsidP="00F47BC0">
            <w:pPr>
              <w:pStyle w:val="Bezriadkovania"/>
              <w:rPr>
                <w:szCs w:val="20"/>
              </w:rPr>
            </w:pPr>
            <w:r w:rsidRPr="00F47BC0">
              <w:rPr>
                <w:szCs w:val="20"/>
              </w:rPr>
              <w:t>5,895</w:t>
            </w:r>
          </w:p>
        </w:tc>
      </w:tr>
      <w:tr w:rsidR="00B2528E" w:rsidRPr="004D1ED1" w14:paraId="3A8869A7" w14:textId="77777777" w:rsidTr="002E771B">
        <w:tc>
          <w:tcPr>
            <w:tcW w:w="1413" w:type="dxa"/>
          </w:tcPr>
          <w:p w14:paraId="480398CA" w14:textId="7DA5BA3B" w:rsidR="00B2528E" w:rsidRPr="00F47BC0" w:rsidRDefault="00B2528E" w:rsidP="00F47BC0">
            <w:pPr>
              <w:pStyle w:val="Bezriadkovania"/>
              <w:rPr>
                <w:szCs w:val="20"/>
              </w:rPr>
            </w:pPr>
            <w:r w:rsidRPr="00F47BC0">
              <w:rPr>
                <w:szCs w:val="20"/>
              </w:rPr>
              <w:t>mestské</w:t>
            </w:r>
          </w:p>
        </w:tc>
        <w:tc>
          <w:tcPr>
            <w:tcW w:w="642" w:type="dxa"/>
            <w:vAlign w:val="bottom"/>
          </w:tcPr>
          <w:p w14:paraId="4D0967DB" w14:textId="0AEFFBA8" w:rsidR="00B2528E" w:rsidRPr="00F47BC0" w:rsidRDefault="00B2528E" w:rsidP="00F47BC0">
            <w:pPr>
              <w:pStyle w:val="Bezriadkovania"/>
              <w:rPr>
                <w:szCs w:val="20"/>
              </w:rPr>
            </w:pPr>
            <w:r w:rsidRPr="00F47BC0">
              <w:rPr>
                <w:szCs w:val="20"/>
              </w:rPr>
              <w:t>2,535</w:t>
            </w:r>
          </w:p>
        </w:tc>
        <w:tc>
          <w:tcPr>
            <w:tcW w:w="643" w:type="dxa"/>
            <w:vAlign w:val="bottom"/>
          </w:tcPr>
          <w:p w14:paraId="7CE21AAA" w14:textId="339601B9" w:rsidR="00B2528E" w:rsidRPr="00F47BC0" w:rsidRDefault="00B2528E" w:rsidP="00F47BC0">
            <w:pPr>
              <w:pStyle w:val="Bezriadkovania"/>
              <w:rPr>
                <w:szCs w:val="20"/>
              </w:rPr>
            </w:pPr>
            <w:r w:rsidRPr="00F47BC0">
              <w:rPr>
                <w:szCs w:val="20"/>
              </w:rPr>
              <w:t>2,703</w:t>
            </w:r>
          </w:p>
        </w:tc>
        <w:tc>
          <w:tcPr>
            <w:tcW w:w="643" w:type="dxa"/>
            <w:vAlign w:val="bottom"/>
          </w:tcPr>
          <w:p w14:paraId="0925F15C" w14:textId="1CCCEEB1" w:rsidR="00B2528E" w:rsidRPr="00F47BC0" w:rsidRDefault="00B2528E" w:rsidP="00F47BC0">
            <w:pPr>
              <w:pStyle w:val="Bezriadkovania"/>
              <w:rPr>
                <w:szCs w:val="20"/>
              </w:rPr>
            </w:pPr>
            <w:r w:rsidRPr="00F47BC0">
              <w:rPr>
                <w:szCs w:val="20"/>
              </w:rPr>
              <w:t>2,870</w:t>
            </w:r>
          </w:p>
        </w:tc>
        <w:tc>
          <w:tcPr>
            <w:tcW w:w="643" w:type="dxa"/>
            <w:vAlign w:val="bottom"/>
          </w:tcPr>
          <w:p w14:paraId="0FA904CE" w14:textId="7CEDB462" w:rsidR="00B2528E" w:rsidRPr="00F47BC0" w:rsidRDefault="00B2528E" w:rsidP="00F47BC0">
            <w:pPr>
              <w:pStyle w:val="Bezriadkovania"/>
              <w:rPr>
                <w:szCs w:val="20"/>
              </w:rPr>
            </w:pPr>
            <w:r w:rsidRPr="00F47BC0">
              <w:rPr>
                <w:szCs w:val="20"/>
              </w:rPr>
              <w:t>3,038</w:t>
            </w:r>
          </w:p>
        </w:tc>
        <w:tc>
          <w:tcPr>
            <w:tcW w:w="642" w:type="dxa"/>
            <w:vAlign w:val="bottom"/>
          </w:tcPr>
          <w:p w14:paraId="622A1705" w14:textId="462DFF03" w:rsidR="00B2528E" w:rsidRPr="00F47BC0" w:rsidRDefault="00B2528E" w:rsidP="00F47BC0">
            <w:pPr>
              <w:pStyle w:val="Bezriadkovania"/>
              <w:rPr>
                <w:szCs w:val="20"/>
              </w:rPr>
            </w:pPr>
            <w:r w:rsidRPr="00F47BC0">
              <w:rPr>
                <w:szCs w:val="20"/>
              </w:rPr>
              <w:t>3,205</w:t>
            </w:r>
          </w:p>
        </w:tc>
        <w:tc>
          <w:tcPr>
            <w:tcW w:w="643" w:type="dxa"/>
            <w:vAlign w:val="bottom"/>
          </w:tcPr>
          <w:p w14:paraId="03C1FFE6" w14:textId="6D9CEB6E" w:rsidR="00B2528E" w:rsidRPr="00F47BC0" w:rsidRDefault="00B2528E" w:rsidP="00F47BC0">
            <w:pPr>
              <w:pStyle w:val="Bezriadkovania"/>
              <w:rPr>
                <w:szCs w:val="20"/>
              </w:rPr>
            </w:pPr>
            <w:r w:rsidRPr="00F47BC0">
              <w:rPr>
                <w:szCs w:val="20"/>
              </w:rPr>
              <w:t>3,372</w:t>
            </w:r>
          </w:p>
        </w:tc>
        <w:tc>
          <w:tcPr>
            <w:tcW w:w="643" w:type="dxa"/>
            <w:vAlign w:val="bottom"/>
          </w:tcPr>
          <w:p w14:paraId="4482CF4E" w14:textId="3800D6E5" w:rsidR="00B2528E" w:rsidRPr="00F47BC0" w:rsidRDefault="00B2528E" w:rsidP="00F47BC0">
            <w:pPr>
              <w:pStyle w:val="Bezriadkovania"/>
              <w:rPr>
                <w:szCs w:val="20"/>
              </w:rPr>
            </w:pPr>
            <w:r w:rsidRPr="00F47BC0">
              <w:rPr>
                <w:szCs w:val="20"/>
              </w:rPr>
              <w:t>3,540</w:t>
            </w:r>
          </w:p>
        </w:tc>
        <w:tc>
          <w:tcPr>
            <w:tcW w:w="643" w:type="dxa"/>
            <w:vAlign w:val="bottom"/>
          </w:tcPr>
          <w:p w14:paraId="6957B861" w14:textId="1340D374" w:rsidR="00B2528E" w:rsidRPr="00F47BC0" w:rsidRDefault="00B2528E" w:rsidP="00F47BC0">
            <w:pPr>
              <w:pStyle w:val="Bezriadkovania"/>
              <w:rPr>
                <w:szCs w:val="20"/>
              </w:rPr>
            </w:pPr>
            <w:r w:rsidRPr="00F47BC0">
              <w:rPr>
                <w:szCs w:val="20"/>
              </w:rPr>
              <w:t>3,707</w:t>
            </w:r>
          </w:p>
        </w:tc>
        <w:tc>
          <w:tcPr>
            <w:tcW w:w="642" w:type="dxa"/>
            <w:vAlign w:val="bottom"/>
          </w:tcPr>
          <w:p w14:paraId="6549414B" w14:textId="38FCCED3" w:rsidR="00B2528E" w:rsidRPr="00F47BC0" w:rsidRDefault="00B2528E" w:rsidP="00F47BC0">
            <w:pPr>
              <w:pStyle w:val="Bezriadkovania"/>
              <w:rPr>
                <w:szCs w:val="20"/>
              </w:rPr>
            </w:pPr>
            <w:r w:rsidRPr="00F47BC0">
              <w:rPr>
                <w:szCs w:val="20"/>
              </w:rPr>
              <w:t>3,874</w:t>
            </w:r>
          </w:p>
        </w:tc>
        <w:tc>
          <w:tcPr>
            <w:tcW w:w="643" w:type="dxa"/>
            <w:vAlign w:val="bottom"/>
          </w:tcPr>
          <w:p w14:paraId="465AD534" w14:textId="55974BA5" w:rsidR="00B2528E" w:rsidRPr="00F47BC0" w:rsidRDefault="00B2528E" w:rsidP="00F47BC0">
            <w:pPr>
              <w:pStyle w:val="Bezriadkovania"/>
              <w:rPr>
                <w:szCs w:val="20"/>
              </w:rPr>
            </w:pPr>
            <w:r w:rsidRPr="00F47BC0">
              <w:rPr>
                <w:szCs w:val="20"/>
              </w:rPr>
              <w:t>4,042</w:t>
            </w:r>
          </w:p>
        </w:tc>
        <w:tc>
          <w:tcPr>
            <w:tcW w:w="643" w:type="dxa"/>
            <w:vAlign w:val="bottom"/>
          </w:tcPr>
          <w:p w14:paraId="25B20881" w14:textId="283DCE5D" w:rsidR="00B2528E" w:rsidRPr="00F47BC0" w:rsidRDefault="00B2528E" w:rsidP="00F47BC0">
            <w:pPr>
              <w:pStyle w:val="Bezriadkovania"/>
              <w:rPr>
                <w:szCs w:val="20"/>
              </w:rPr>
            </w:pPr>
            <w:r w:rsidRPr="00F47BC0">
              <w:rPr>
                <w:szCs w:val="20"/>
              </w:rPr>
              <w:t>4,209</w:t>
            </w:r>
          </w:p>
        </w:tc>
        <w:tc>
          <w:tcPr>
            <w:tcW w:w="643" w:type="dxa"/>
            <w:vAlign w:val="bottom"/>
          </w:tcPr>
          <w:p w14:paraId="39FD03D2" w14:textId="66227BF5" w:rsidR="00B2528E" w:rsidRPr="00F47BC0" w:rsidRDefault="00B2528E" w:rsidP="00F47BC0">
            <w:pPr>
              <w:pStyle w:val="Bezriadkovania"/>
              <w:rPr>
                <w:szCs w:val="20"/>
              </w:rPr>
            </w:pPr>
            <w:r w:rsidRPr="00F47BC0">
              <w:rPr>
                <w:szCs w:val="20"/>
              </w:rPr>
              <w:t>4,376</w:t>
            </w:r>
          </w:p>
        </w:tc>
      </w:tr>
      <w:tr w:rsidR="00B2528E" w:rsidRPr="004D1ED1" w14:paraId="31A53B79" w14:textId="77777777" w:rsidTr="002E771B">
        <w:tc>
          <w:tcPr>
            <w:tcW w:w="1413" w:type="dxa"/>
          </w:tcPr>
          <w:p w14:paraId="7E08552D" w14:textId="448DE5BF" w:rsidR="00B2528E" w:rsidRPr="00F47BC0" w:rsidRDefault="00B2528E" w:rsidP="00F47BC0">
            <w:pPr>
              <w:pStyle w:val="Bezriadkovania"/>
              <w:rPr>
                <w:szCs w:val="20"/>
              </w:rPr>
            </w:pPr>
            <w:r w:rsidRPr="00F47BC0">
              <w:rPr>
                <w:szCs w:val="20"/>
              </w:rPr>
              <w:t>extravilán</w:t>
            </w:r>
          </w:p>
        </w:tc>
        <w:tc>
          <w:tcPr>
            <w:tcW w:w="642" w:type="dxa"/>
            <w:vAlign w:val="bottom"/>
          </w:tcPr>
          <w:p w14:paraId="20B8ABFE" w14:textId="53FA4C5B" w:rsidR="00B2528E" w:rsidRPr="00F47BC0" w:rsidRDefault="00B2528E" w:rsidP="00F47BC0">
            <w:pPr>
              <w:pStyle w:val="Bezriadkovania"/>
              <w:rPr>
                <w:szCs w:val="20"/>
              </w:rPr>
            </w:pPr>
            <w:r w:rsidRPr="00F47BC0">
              <w:rPr>
                <w:szCs w:val="20"/>
              </w:rPr>
              <w:t>1,776</w:t>
            </w:r>
          </w:p>
        </w:tc>
        <w:tc>
          <w:tcPr>
            <w:tcW w:w="643" w:type="dxa"/>
            <w:vAlign w:val="bottom"/>
          </w:tcPr>
          <w:p w14:paraId="67AAE080" w14:textId="44501D8B" w:rsidR="00B2528E" w:rsidRPr="00F47BC0" w:rsidRDefault="00B2528E" w:rsidP="00F47BC0">
            <w:pPr>
              <w:pStyle w:val="Bezriadkovania"/>
              <w:rPr>
                <w:szCs w:val="20"/>
              </w:rPr>
            </w:pPr>
            <w:r w:rsidRPr="00F47BC0">
              <w:rPr>
                <w:szCs w:val="20"/>
              </w:rPr>
              <w:t>1,944</w:t>
            </w:r>
          </w:p>
        </w:tc>
        <w:tc>
          <w:tcPr>
            <w:tcW w:w="643" w:type="dxa"/>
            <w:vAlign w:val="bottom"/>
          </w:tcPr>
          <w:p w14:paraId="2173754E" w14:textId="508A3935" w:rsidR="00B2528E" w:rsidRPr="00F47BC0" w:rsidRDefault="00B2528E" w:rsidP="00F47BC0">
            <w:pPr>
              <w:pStyle w:val="Bezriadkovania"/>
              <w:rPr>
                <w:szCs w:val="20"/>
              </w:rPr>
            </w:pPr>
            <w:r w:rsidRPr="00F47BC0">
              <w:rPr>
                <w:szCs w:val="20"/>
              </w:rPr>
              <w:t>2,111</w:t>
            </w:r>
          </w:p>
        </w:tc>
        <w:tc>
          <w:tcPr>
            <w:tcW w:w="643" w:type="dxa"/>
            <w:vAlign w:val="bottom"/>
          </w:tcPr>
          <w:p w14:paraId="6567ECE7" w14:textId="61C18CAE" w:rsidR="00B2528E" w:rsidRPr="00F47BC0" w:rsidRDefault="00B2528E" w:rsidP="00F47BC0">
            <w:pPr>
              <w:pStyle w:val="Bezriadkovania"/>
              <w:rPr>
                <w:szCs w:val="20"/>
              </w:rPr>
            </w:pPr>
            <w:r w:rsidRPr="00F47BC0">
              <w:rPr>
                <w:szCs w:val="20"/>
              </w:rPr>
              <w:t>2,279</w:t>
            </w:r>
          </w:p>
        </w:tc>
        <w:tc>
          <w:tcPr>
            <w:tcW w:w="642" w:type="dxa"/>
            <w:vAlign w:val="bottom"/>
          </w:tcPr>
          <w:p w14:paraId="5EF84344" w14:textId="593ED4AA" w:rsidR="00B2528E" w:rsidRPr="00F47BC0" w:rsidRDefault="00B2528E" w:rsidP="00F47BC0">
            <w:pPr>
              <w:pStyle w:val="Bezriadkovania"/>
              <w:rPr>
                <w:szCs w:val="20"/>
              </w:rPr>
            </w:pPr>
            <w:r w:rsidRPr="00F47BC0">
              <w:rPr>
                <w:szCs w:val="20"/>
              </w:rPr>
              <w:t>2,446</w:t>
            </w:r>
          </w:p>
        </w:tc>
        <w:tc>
          <w:tcPr>
            <w:tcW w:w="643" w:type="dxa"/>
            <w:vAlign w:val="bottom"/>
          </w:tcPr>
          <w:p w14:paraId="75397060" w14:textId="5A715559" w:rsidR="00B2528E" w:rsidRPr="00F47BC0" w:rsidRDefault="00B2528E" w:rsidP="00F47BC0">
            <w:pPr>
              <w:pStyle w:val="Bezriadkovania"/>
              <w:rPr>
                <w:szCs w:val="20"/>
              </w:rPr>
            </w:pPr>
            <w:r w:rsidRPr="00F47BC0">
              <w:rPr>
                <w:szCs w:val="20"/>
              </w:rPr>
              <w:t>2,613</w:t>
            </w:r>
          </w:p>
        </w:tc>
        <w:tc>
          <w:tcPr>
            <w:tcW w:w="643" w:type="dxa"/>
            <w:vAlign w:val="bottom"/>
          </w:tcPr>
          <w:p w14:paraId="37990990" w14:textId="48E41E22" w:rsidR="00B2528E" w:rsidRPr="00F47BC0" w:rsidRDefault="00B2528E" w:rsidP="00F47BC0">
            <w:pPr>
              <w:pStyle w:val="Bezriadkovania"/>
              <w:rPr>
                <w:szCs w:val="20"/>
              </w:rPr>
            </w:pPr>
            <w:r w:rsidRPr="00F47BC0">
              <w:rPr>
                <w:szCs w:val="20"/>
              </w:rPr>
              <w:t>2,781</w:t>
            </w:r>
          </w:p>
        </w:tc>
        <w:tc>
          <w:tcPr>
            <w:tcW w:w="643" w:type="dxa"/>
            <w:vAlign w:val="bottom"/>
          </w:tcPr>
          <w:p w14:paraId="0510A85E" w14:textId="7264E048" w:rsidR="00B2528E" w:rsidRPr="00F47BC0" w:rsidRDefault="00B2528E" w:rsidP="00F47BC0">
            <w:pPr>
              <w:pStyle w:val="Bezriadkovania"/>
              <w:rPr>
                <w:szCs w:val="20"/>
              </w:rPr>
            </w:pPr>
            <w:r w:rsidRPr="00F47BC0">
              <w:rPr>
                <w:szCs w:val="20"/>
              </w:rPr>
              <w:t>2,948</w:t>
            </w:r>
          </w:p>
        </w:tc>
        <w:tc>
          <w:tcPr>
            <w:tcW w:w="642" w:type="dxa"/>
            <w:vAlign w:val="bottom"/>
          </w:tcPr>
          <w:p w14:paraId="6B17C376" w14:textId="22FD1382" w:rsidR="00B2528E" w:rsidRPr="00F47BC0" w:rsidRDefault="00B2528E" w:rsidP="00F47BC0">
            <w:pPr>
              <w:pStyle w:val="Bezriadkovania"/>
              <w:rPr>
                <w:szCs w:val="20"/>
              </w:rPr>
            </w:pPr>
            <w:r w:rsidRPr="00F47BC0">
              <w:rPr>
                <w:szCs w:val="20"/>
              </w:rPr>
              <w:t>3,115</w:t>
            </w:r>
          </w:p>
        </w:tc>
        <w:tc>
          <w:tcPr>
            <w:tcW w:w="643" w:type="dxa"/>
            <w:vAlign w:val="bottom"/>
          </w:tcPr>
          <w:p w14:paraId="09B2713E" w14:textId="61E224B0" w:rsidR="00B2528E" w:rsidRPr="00F47BC0" w:rsidRDefault="00B2528E" w:rsidP="00F47BC0">
            <w:pPr>
              <w:pStyle w:val="Bezriadkovania"/>
              <w:rPr>
                <w:szCs w:val="20"/>
              </w:rPr>
            </w:pPr>
            <w:r w:rsidRPr="00F47BC0">
              <w:rPr>
                <w:szCs w:val="20"/>
              </w:rPr>
              <w:t>3,283</w:t>
            </w:r>
          </w:p>
        </w:tc>
        <w:tc>
          <w:tcPr>
            <w:tcW w:w="643" w:type="dxa"/>
            <w:vAlign w:val="bottom"/>
          </w:tcPr>
          <w:p w14:paraId="1DAF163E" w14:textId="3BA65233" w:rsidR="00B2528E" w:rsidRPr="00F47BC0" w:rsidRDefault="00B2528E" w:rsidP="00F47BC0">
            <w:pPr>
              <w:pStyle w:val="Bezriadkovania"/>
              <w:rPr>
                <w:szCs w:val="20"/>
              </w:rPr>
            </w:pPr>
            <w:r w:rsidRPr="00F47BC0">
              <w:rPr>
                <w:szCs w:val="20"/>
              </w:rPr>
              <w:t>3,450</w:t>
            </w:r>
          </w:p>
        </w:tc>
        <w:tc>
          <w:tcPr>
            <w:tcW w:w="643" w:type="dxa"/>
            <w:vAlign w:val="bottom"/>
          </w:tcPr>
          <w:p w14:paraId="60F4FD45" w14:textId="76AC3555" w:rsidR="00B2528E" w:rsidRPr="00F47BC0" w:rsidRDefault="00B2528E" w:rsidP="00F47BC0">
            <w:pPr>
              <w:pStyle w:val="Bezriadkovania"/>
              <w:rPr>
                <w:szCs w:val="20"/>
              </w:rPr>
            </w:pPr>
            <w:r w:rsidRPr="00F47BC0">
              <w:rPr>
                <w:szCs w:val="20"/>
              </w:rPr>
              <w:t>3,617</w:t>
            </w:r>
          </w:p>
        </w:tc>
      </w:tr>
    </w:tbl>
    <w:p w14:paraId="6B3BC9A5" w14:textId="781E3554" w:rsidR="005E01B2" w:rsidRPr="00F47BC0" w:rsidRDefault="005E01B2" w:rsidP="00F47BC0">
      <w:pPr>
        <w:pStyle w:val="Citcia"/>
      </w:pPr>
      <w:r w:rsidRPr="00F47BC0">
        <w:rPr>
          <w:szCs w:val="18"/>
        </w:rPr>
        <w:t xml:space="preserve">Zdroj: </w:t>
      </w:r>
      <w:r w:rsidR="00B2528E" w:rsidRPr="00F47BC0">
        <w:rPr>
          <w:szCs w:val="18"/>
        </w:rPr>
        <w:t>vlastný výpočet podľa Príručky CBA  v zmysle predpokladov</w:t>
      </w:r>
    </w:p>
    <w:p w14:paraId="666B4CC8" w14:textId="7920048B" w:rsidR="00107EA8" w:rsidRPr="004D1ED1" w:rsidRDefault="00107EA8" w:rsidP="00F47BC0">
      <w:pPr>
        <w:pStyle w:val="Poznmka"/>
      </w:pPr>
      <w:r w:rsidRPr="004D1ED1">
        <w:t xml:space="preserve">Pozn.: Medzi hodnotami v tabuľke možno ale lineárne interpolovať s ohľadom na skutočnú vzdialenosť ciest </w:t>
      </w:r>
      <w:r w:rsidR="00492426" w:rsidRPr="003565F8">
        <w:t>na podiely počtu dochádzajúcich a podiely úsekov trás v príslušnom prostredí</w:t>
      </w:r>
      <w:r w:rsidRPr="004D1ED1">
        <w:t>.</w:t>
      </w:r>
    </w:p>
    <w:p w14:paraId="39F0D013" w14:textId="04A10DC6" w:rsidR="00107EA8" w:rsidRPr="004D1ED1" w:rsidRDefault="00107EA8" w:rsidP="00F47BC0">
      <w:r w:rsidRPr="004D1ED1">
        <w:t xml:space="preserve">Jednotkové náklady sa v čase neupravujú, preto pre výpočet celkových benefitov za celé </w:t>
      </w:r>
      <w:r w:rsidR="003003F2">
        <w:t xml:space="preserve">návrhové obdobie 20 rokov </w:t>
      </w:r>
      <w:r w:rsidRPr="004D1ED1">
        <w:t xml:space="preserve">možno použiť prepočtový faktor </w:t>
      </w:r>
      <w:r w:rsidR="002A263A" w:rsidRPr="002A263A">
        <w:rPr>
          <w:i/>
          <w:iCs/>
        </w:rPr>
        <w:t>KFD = 1</w:t>
      </w:r>
      <w:r w:rsidR="002A263A">
        <w:rPr>
          <w:i/>
          <w:iCs/>
        </w:rPr>
        <w:t>2</w:t>
      </w:r>
      <w:r w:rsidR="002A263A" w:rsidRPr="002A263A">
        <w:rPr>
          <w:i/>
          <w:iCs/>
        </w:rPr>
        <w:t>,</w:t>
      </w:r>
      <w:r w:rsidR="002A263A">
        <w:rPr>
          <w:i/>
          <w:iCs/>
        </w:rPr>
        <w:t>462</w:t>
      </w:r>
      <w:r w:rsidRPr="004D1ED1">
        <w:t>.</w:t>
      </w:r>
    </w:p>
    <w:p w14:paraId="39693F44" w14:textId="7F0C2F70" w:rsidR="00A93BE8" w:rsidRPr="00DE1BB0" w:rsidRDefault="00A93BE8" w:rsidP="007B4858">
      <w:pPr>
        <w:pStyle w:val="Nadpis3"/>
      </w:pPr>
      <w:r w:rsidRPr="00DE1BB0">
        <w:t xml:space="preserve">Emisie </w:t>
      </w:r>
      <w:r w:rsidR="00173C6A" w:rsidRPr="00DE1BB0">
        <w:t>znečisťujúcich látok</w:t>
      </w:r>
      <w:r w:rsidR="00BA29C8" w:rsidRPr="00DE1BB0">
        <w:t xml:space="preserve"> (dopady na zdravie obyvateľstva)</w:t>
      </w:r>
    </w:p>
    <w:p w14:paraId="50C459DB" w14:textId="3CF88E86" w:rsidR="008603C8" w:rsidRDefault="006D28D7" w:rsidP="003565F8">
      <w:r w:rsidRPr="004D1ED1">
        <w:t xml:space="preserve">Na základe vypočítanej spotreby pohonných hmôt je tiež možné vypočítať aj spoločenské úspory vyplývajúce zo zníženia objemu emisií znečisťujúcich látok do ovzdušia. Pri uvážení predchádzajúcich predpokladov a postupu v zmysle Príručky CBA vyplývajú úspory objemu </w:t>
      </w:r>
      <w:r w:rsidR="002E771B" w:rsidRPr="004D1ED1">
        <w:t xml:space="preserve">jednotlivých druhov </w:t>
      </w:r>
      <w:r w:rsidRPr="004D1ED1">
        <w:t xml:space="preserve">emisií na 100 km prevedenej dopravy z IAD </w:t>
      </w:r>
      <w:r w:rsidR="002E771B" w:rsidRPr="004D1ED1">
        <w:t xml:space="preserve">v rôznom type prostredia </w:t>
      </w:r>
      <w:r w:rsidRPr="004D1ED1">
        <w:t xml:space="preserve">podľa </w:t>
      </w:r>
      <w:r w:rsidRPr="007D23E8">
        <w:t>tabuľky 3.</w:t>
      </w:r>
      <w:r w:rsidR="002E771B" w:rsidRPr="004D1ED1">
        <w:t xml:space="preserve"> Úspory emisií z hromadnej dopravy sa rovnako ako v predchádzajúcich prípadoch nepredpokladajú.</w:t>
      </w:r>
    </w:p>
    <w:p w14:paraId="29018FAA" w14:textId="10DCB231" w:rsidR="00D0493A" w:rsidRDefault="00D0493A" w:rsidP="00D0493A">
      <w:r>
        <w:t xml:space="preserve">Pri jazde automobilom na krátke vzdialenosti je produkcia emisií ďalej navýšená o tzv. „emisie studeného štartu“. Typicky sa uvažuje navýšenie o cca 20% na prvých 3,4 km (Zdroj: HEAT). Z toho vyplýva, že pre nahradené trasy automobilom do (priemernej) dĺžky 3,4 km možno pre celkový objem produkovaných emisií použiť faktor </w:t>
      </w:r>
      <w:r w:rsidR="00BD7E64" w:rsidRPr="00BD7E64">
        <w:rPr>
          <w:i/>
          <w:iCs/>
        </w:rPr>
        <w:t>Fe</w:t>
      </w:r>
      <w:r w:rsidRPr="00BD7E64">
        <w:rPr>
          <w:i/>
          <w:iCs/>
        </w:rPr>
        <w:t xml:space="preserve"> = 1,2</w:t>
      </w:r>
      <w:r w:rsidR="00BD7E64">
        <w:t>.</w:t>
      </w:r>
      <w:r>
        <w:t xml:space="preserve"> </w:t>
      </w:r>
      <w:r w:rsidR="00BD7E64">
        <w:t>P</w:t>
      </w:r>
      <w:r>
        <w:t xml:space="preserve">ri trasách s väčšou </w:t>
      </w:r>
      <w:r w:rsidR="00BD7E64">
        <w:t>(</w:t>
      </w:r>
      <w:r>
        <w:t>priemernou</w:t>
      </w:r>
      <w:r w:rsidR="00BD7E64">
        <w:t>)</w:t>
      </w:r>
      <w:r>
        <w:t xml:space="preserve"> dĺžkou sa použije faktor </w:t>
      </w:r>
      <w:r w:rsidR="00BD7E64" w:rsidRPr="00BD7E64">
        <w:rPr>
          <w:i/>
          <w:iCs/>
        </w:rPr>
        <w:t>Fe</w:t>
      </w:r>
      <w:r w:rsidRPr="00BD7E64">
        <w:rPr>
          <w:i/>
          <w:iCs/>
        </w:rPr>
        <w:t xml:space="preserve"> = </w:t>
      </w:r>
      <w:r w:rsidR="00BD7E64" w:rsidRPr="00BD7E64">
        <w:rPr>
          <w:i/>
          <w:iCs/>
        </w:rPr>
        <w:t>(La + 0,68) / La</w:t>
      </w:r>
      <w:r w:rsidR="00BD7E64">
        <w:t xml:space="preserve">, kde </w:t>
      </w:r>
      <w:r w:rsidR="00BD7E64" w:rsidRPr="00BD7E64">
        <w:rPr>
          <w:i/>
          <w:iCs/>
        </w:rPr>
        <w:t>La</w:t>
      </w:r>
      <w:r w:rsidR="00BD7E64">
        <w:t xml:space="preserve">  je (priemerná) dĺžka nahradenej jazdy automobilom.</w:t>
      </w:r>
    </w:p>
    <w:p w14:paraId="6671A3FE" w14:textId="3FDDC9C3" w:rsidR="00C90CE8" w:rsidRPr="004D1ED1" w:rsidRDefault="00C90CE8" w:rsidP="003565F8">
      <w:r w:rsidRPr="004D1ED1">
        <w:t>Výsledné hodnoty benefitov podľa prostredia po uvážení jednotkových cien emisií v zmysle Príručky CBA potom predstavujú (v cenovej úrovni 2021):</w:t>
      </w:r>
    </w:p>
    <w:p w14:paraId="7B06B69C" w14:textId="0B1F3807" w:rsidR="00C90CE8" w:rsidRPr="00F47BC0" w:rsidRDefault="00C90CE8" w:rsidP="00F47BC0">
      <w:pPr>
        <w:pStyle w:val="Odsekzoznamu"/>
      </w:pPr>
      <w:r w:rsidRPr="00F47BC0">
        <w:t>v centrálnom mestskom prostredí 1,075 EUR / 100 km prevedených z IAD</w:t>
      </w:r>
    </w:p>
    <w:p w14:paraId="4B98694B" w14:textId="1D749217" w:rsidR="00C90CE8" w:rsidRPr="00F47BC0" w:rsidRDefault="00C90CE8" w:rsidP="00F47BC0">
      <w:pPr>
        <w:pStyle w:val="Odsekzoznamu"/>
      </w:pPr>
      <w:r w:rsidRPr="00F47BC0">
        <w:t>v bežnom mestskom prostredí 0,465 EUR / 100 km prevedených z IAD</w:t>
      </w:r>
    </w:p>
    <w:p w14:paraId="310C4E5E" w14:textId="443B14BD" w:rsidR="00C90CE8" w:rsidRPr="00F47BC0" w:rsidRDefault="00C90CE8" w:rsidP="00F47BC0">
      <w:pPr>
        <w:pStyle w:val="Odsekzoznamu"/>
      </w:pPr>
      <w:r w:rsidRPr="00F47BC0">
        <w:t>v extraviláne 0,365 EUR / 100 km prevedených z IAD</w:t>
      </w:r>
    </w:p>
    <w:p w14:paraId="3AFE28C7" w14:textId="68C43299" w:rsidR="003565F8" w:rsidRDefault="00C90CE8" w:rsidP="00492426">
      <w:pPr>
        <w:pStyle w:val="Poznmka"/>
        <w:spacing w:before="0"/>
      </w:pPr>
      <w:r w:rsidRPr="00DE1BB0">
        <w:t xml:space="preserve">Pozn.: Medzi týmito hodnotami možno interpolovať s prihliadnutím </w:t>
      </w:r>
      <w:r w:rsidR="00492426" w:rsidRPr="003565F8">
        <w:t>na podiely počtu dochádzajúcich a podiely úsekov trás v príslušnom prostredí.</w:t>
      </w:r>
      <w:r w:rsidRPr="00DE1BB0">
        <w:t>.</w:t>
      </w:r>
    </w:p>
    <w:p w14:paraId="236567F5" w14:textId="0DF7608B" w:rsidR="00441CD7" w:rsidRPr="004D1ED1" w:rsidRDefault="00C90CE8" w:rsidP="003565F8">
      <w:r w:rsidRPr="004D1ED1">
        <w:t>Jednotkové náklady sa v čase upravujú o</w:t>
      </w:r>
      <w:r w:rsidR="002A263A">
        <w:t> </w:t>
      </w:r>
      <w:r w:rsidRPr="004D1ED1">
        <w:t>rast HDP s elasticitou 0,7</w:t>
      </w:r>
      <w:r w:rsidR="002A263A">
        <w:t xml:space="preserve"> a o</w:t>
      </w:r>
      <w:r w:rsidR="00E53C7A">
        <w:t> </w:t>
      </w:r>
      <w:r w:rsidR="002A263A">
        <w:t>infláciu</w:t>
      </w:r>
      <w:r w:rsidR="00E53C7A">
        <w:t xml:space="preserve"> na cenovú úroveň daného roku (výstavby)</w:t>
      </w:r>
      <w:r w:rsidRPr="004D1ED1">
        <w:t xml:space="preserve">. Pre výpočet celkových diskontovaných benefitov za celé </w:t>
      </w:r>
      <w:r w:rsidR="003003F2">
        <w:t>návrhové obdobie 20</w:t>
      </w:r>
      <w:r w:rsidR="00E53C7A">
        <w:t> </w:t>
      </w:r>
      <w:r w:rsidR="003003F2">
        <w:t xml:space="preserve">rokov </w:t>
      </w:r>
      <w:r w:rsidRPr="004D1ED1">
        <w:t xml:space="preserve">možno použiť prepočtový faktor </w:t>
      </w:r>
      <w:r w:rsidR="002A263A" w:rsidRPr="002A263A">
        <w:rPr>
          <w:i/>
          <w:iCs/>
        </w:rPr>
        <w:t>KFD = 14,034</w:t>
      </w:r>
      <w:r w:rsidRPr="004D1ED1">
        <w:t>.</w:t>
      </w:r>
    </w:p>
    <w:p w14:paraId="33D916E7" w14:textId="428634E1" w:rsidR="002E771B" w:rsidRPr="00492426" w:rsidRDefault="002E771B" w:rsidP="00DE1BB0">
      <w:pPr>
        <w:rPr>
          <w:rStyle w:val="Intenzvnezvraznenie"/>
          <w:sz w:val="20"/>
          <w:szCs w:val="20"/>
        </w:rPr>
      </w:pPr>
      <w:r w:rsidRPr="00492426">
        <w:rPr>
          <w:rStyle w:val="Intenzvnezvraznenie"/>
          <w:sz w:val="20"/>
          <w:szCs w:val="20"/>
        </w:rPr>
        <w:t xml:space="preserve">Tab. 3 Hodnoty úspor objemu emisií </w:t>
      </w:r>
      <w:r w:rsidR="00146088" w:rsidRPr="00492426">
        <w:rPr>
          <w:rStyle w:val="Intenzvnezvraznenie"/>
          <w:sz w:val="20"/>
          <w:szCs w:val="20"/>
        </w:rPr>
        <w:t xml:space="preserve">z osobných automobilov </w:t>
      </w:r>
      <w:r w:rsidRPr="00492426">
        <w:rPr>
          <w:rStyle w:val="Intenzvnezvraznenie"/>
          <w:sz w:val="20"/>
          <w:szCs w:val="20"/>
        </w:rPr>
        <w:t xml:space="preserve">podľa druhu </w:t>
      </w:r>
      <w:r w:rsidR="00146088" w:rsidRPr="00492426">
        <w:rPr>
          <w:rStyle w:val="Intenzvnezvraznenie"/>
          <w:sz w:val="20"/>
          <w:szCs w:val="20"/>
        </w:rPr>
        <w:t>a</w:t>
      </w:r>
      <w:r w:rsidR="00BA29C8" w:rsidRPr="00492426">
        <w:rPr>
          <w:rStyle w:val="Intenzvnezvraznenie"/>
          <w:sz w:val="20"/>
          <w:szCs w:val="20"/>
        </w:rPr>
        <w:t xml:space="preserve"> prostred</w:t>
      </w:r>
      <w:r w:rsidR="00146088" w:rsidRPr="00492426">
        <w:rPr>
          <w:rStyle w:val="Intenzvnezvraznenie"/>
          <w:sz w:val="20"/>
          <w:szCs w:val="20"/>
        </w:rPr>
        <w:t>ia</w:t>
      </w:r>
      <w:r w:rsidRPr="00492426">
        <w:rPr>
          <w:rStyle w:val="Intenzvnezvraznenie"/>
          <w:sz w:val="20"/>
          <w:szCs w:val="20"/>
        </w:rPr>
        <w:t xml:space="preserve"> (g/100 voz.km)</w:t>
      </w:r>
    </w:p>
    <w:tbl>
      <w:tblPr>
        <w:tblStyle w:val="Mriekatabuky"/>
        <w:tblW w:w="9209" w:type="dxa"/>
        <w:tblLayout w:type="fixed"/>
        <w:tblCellMar>
          <w:left w:w="85" w:type="dxa"/>
          <w:right w:w="85" w:type="dxa"/>
        </w:tblCellMar>
        <w:tblLook w:val="04A0" w:firstRow="1" w:lastRow="0" w:firstColumn="1" w:lastColumn="0" w:noHBand="0" w:noVBand="1"/>
      </w:tblPr>
      <w:tblGrid>
        <w:gridCol w:w="1555"/>
        <w:gridCol w:w="850"/>
        <w:gridCol w:w="850"/>
        <w:gridCol w:w="851"/>
        <w:gridCol w:w="992"/>
        <w:gridCol w:w="807"/>
        <w:gridCol w:w="807"/>
        <w:gridCol w:w="807"/>
        <w:gridCol w:w="808"/>
        <w:gridCol w:w="882"/>
      </w:tblGrid>
      <w:tr w:rsidR="00146088" w:rsidRPr="004D1ED1" w14:paraId="570A6005" w14:textId="77777777" w:rsidTr="00C90CE8">
        <w:tc>
          <w:tcPr>
            <w:tcW w:w="1555" w:type="dxa"/>
          </w:tcPr>
          <w:p w14:paraId="36192752" w14:textId="066AE7C4" w:rsidR="00146088" w:rsidRPr="00492426" w:rsidRDefault="00146088" w:rsidP="00492426">
            <w:pPr>
              <w:pStyle w:val="Bezriadkovania"/>
            </w:pPr>
            <w:r w:rsidRPr="00492426">
              <w:t>druh emisie</w:t>
            </w:r>
          </w:p>
        </w:tc>
        <w:tc>
          <w:tcPr>
            <w:tcW w:w="4350" w:type="dxa"/>
            <w:gridSpan w:val="5"/>
          </w:tcPr>
          <w:p w14:paraId="16D47354" w14:textId="4D0F1780" w:rsidR="00146088" w:rsidRPr="00492426" w:rsidRDefault="00146088" w:rsidP="00492426">
            <w:pPr>
              <w:pStyle w:val="Bezriadkovania"/>
            </w:pPr>
            <w:r w:rsidRPr="00492426">
              <w:t>látky znečisťujúce ovzdušie</w:t>
            </w:r>
          </w:p>
        </w:tc>
        <w:tc>
          <w:tcPr>
            <w:tcW w:w="3304" w:type="dxa"/>
            <w:gridSpan w:val="4"/>
          </w:tcPr>
          <w:p w14:paraId="10CB01A2" w14:textId="05C7EE2D" w:rsidR="00146088" w:rsidRPr="00492426" w:rsidRDefault="00146088" w:rsidP="00492426">
            <w:pPr>
              <w:pStyle w:val="Bezriadkovania"/>
            </w:pPr>
            <w:r w:rsidRPr="00492426">
              <w:t>skleníkové plyny</w:t>
            </w:r>
          </w:p>
        </w:tc>
      </w:tr>
      <w:tr w:rsidR="00146088" w:rsidRPr="004D1ED1" w14:paraId="6649C76A" w14:textId="77777777" w:rsidTr="00146088">
        <w:tc>
          <w:tcPr>
            <w:tcW w:w="1555" w:type="dxa"/>
          </w:tcPr>
          <w:p w14:paraId="2A505CCF" w14:textId="2592BF51" w:rsidR="00146088" w:rsidRPr="00492426" w:rsidRDefault="00146088" w:rsidP="00492426">
            <w:pPr>
              <w:pStyle w:val="Bezriadkovania"/>
            </w:pPr>
            <w:r w:rsidRPr="00492426">
              <w:t>prostredie</w:t>
            </w:r>
          </w:p>
        </w:tc>
        <w:tc>
          <w:tcPr>
            <w:tcW w:w="850" w:type="dxa"/>
          </w:tcPr>
          <w:p w14:paraId="356D5A35" w14:textId="733B5E6E" w:rsidR="00146088" w:rsidRPr="00492426" w:rsidRDefault="00146088" w:rsidP="00492426">
            <w:pPr>
              <w:pStyle w:val="Bezriadkovania"/>
            </w:pPr>
            <w:r w:rsidRPr="00492426">
              <w:t>PM2,5</w:t>
            </w:r>
          </w:p>
        </w:tc>
        <w:tc>
          <w:tcPr>
            <w:tcW w:w="850" w:type="dxa"/>
          </w:tcPr>
          <w:p w14:paraId="3F2A69C3" w14:textId="66EA5C16" w:rsidR="00146088" w:rsidRPr="00492426" w:rsidRDefault="00146088" w:rsidP="00492426">
            <w:pPr>
              <w:pStyle w:val="Bezriadkovania"/>
            </w:pPr>
            <w:proofErr w:type="spellStart"/>
            <w:r w:rsidRPr="00492426">
              <w:t>NOx</w:t>
            </w:r>
            <w:proofErr w:type="spellEnd"/>
          </w:p>
        </w:tc>
        <w:tc>
          <w:tcPr>
            <w:tcW w:w="851" w:type="dxa"/>
          </w:tcPr>
          <w:p w14:paraId="592834C1" w14:textId="56B27806" w:rsidR="00146088" w:rsidRPr="00492426" w:rsidRDefault="00146088" w:rsidP="00492426">
            <w:pPr>
              <w:pStyle w:val="Bezriadkovania"/>
            </w:pPr>
            <w:r w:rsidRPr="00492426">
              <w:t>SO2</w:t>
            </w:r>
          </w:p>
        </w:tc>
        <w:tc>
          <w:tcPr>
            <w:tcW w:w="992" w:type="dxa"/>
          </w:tcPr>
          <w:p w14:paraId="767CC4EC" w14:textId="3BE00930" w:rsidR="00146088" w:rsidRPr="00492426" w:rsidRDefault="00146088" w:rsidP="00492426">
            <w:pPr>
              <w:pStyle w:val="Bezriadkovania"/>
            </w:pPr>
            <w:r w:rsidRPr="00492426">
              <w:t>NMVOC</w:t>
            </w:r>
          </w:p>
        </w:tc>
        <w:tc>
          <w:tcPr>
            <w:tcW w:w="807" w:type="dxa"/>
          </w:tcPr>
          <w:p w14:paraId="2B9B98C2" w14:textId="084E494B" w:rsidR="00146088" w:rsidRPr="00492426" w:rsidRDefault="00146088" w:rsidP="00492426">
            <w:pPr>
              <w:pStyle w:val="Bezriadkovania"/>
            </w:pPr>
            <w:r w:rsidRPr="00492426">
              <w:t>NH3</w:t>
            </w:r>
          </w:p>
        </w:tc>
        <w:tc>
          <w:tcPr>
            <w:tcW w:w="807" w:type="dxa"/>
          </w:tcPr>
          <w:p w14:paraId="0B400A3E" w14:textId="31DC37C7" w:rsidR="00146088" w:rsidRPr="00492426" w:rsidRDefault="00146088" w:rsidP="00492426">
            <w:pPr>
              <w:pStyle w:val="Bezriadkovania"/>
            </w:pPr>
            <w:r w:rsidRPr="00492426">
              <w:t>CO2</w:t>
            </w:r>
          </w:p>
        </w:tc>
        <w:tc>
          <w:tcPr>
            <w:tcW w:w="807" w:type="dxa"/>
          </w:tcPr>
          <w:p w14:paraId="32D5B61B" w14:textId="74F2B197" w:rsidR="00146088" w:rsidRPr="00492426" w:rsidRDefault="00146088" w:rsidP="00492426">
            <w:pPr>
              <w:pStyle w:val="Bezriadkovania"/>
            </w:pPr>
            <w:r w:rsidRPr="00492426">
              <w:t>CH4</w:t>
            </w:r>
          </w:p>
        </w:tc>
        <w:tc>
          <w:tcPr>
            <w:tcW w:w="808" w:type="dxa"/>
          </w:tcPr>
          <w:p w14:paraId="4BB7EB85" w14:textId="35B61528" w:rsidR="00146088" w:rsidRPr="00492426" w:rsidRDefault="00146088" w:rsidP="00492426">
            <w:pPr>
              <w:pStyle w:val="Bezriadkovania"/>
            </w:pPr>
            <w:r w:rsidRPr="00492426">
              <w:t>N2O</w:t>
            </w:r>
          </w:p>
        </w:tc>
        <w:tc>
          <w:tcPr>
            <w:tcW w:w="882" w:type="dxa"/>
          </w:tcPr>
          <w:p w14:paraId="69D3329E" w14:textId="68B11493" w:rsidR="00146088" w:rsidRPr="00492426" w:rsidRDefault="00146088" w:rsidP="00492426">
            <w:pPr>
              <w:pStyle w:val="Bezriadkovania"/>
            </w:pPr>
            <w:r w:rsidRPr="00492426">
              <w:t xml:space="preserve">CO2 </w:t>
            </w:r>
            <w:proofErr w:type="spellStart"/>
            <w:r w:rsidRPr="00492426">
              <w:t>ekv</w:t>
            </w:r>
            <w:proofErr w:type="spellEnd"/>
          </w:p>
        </w:tc>
      </w:tr>
      <w:tr w:rsidR="00146088" w:rsidRPr="004D1ED1" w14:paraId="6849E013" w14:textId="77777777" w:rsidTr="00146088">
        <w:tc>
          <w:tcPr>
            <w:tcW w:w="1555" w:type="dxa"/>
          </w:tcPr>
          <w:p w14:paraId="37741C8D" w14:textId="77777777" w:rsidR="00146088" w:rsidRPr="00492426" w:rsidRDefault="00146088" w:rsidP="00492426">
            <w:pPr>
              <w:pStyle w:val="Bezriadkovania"/>
            </w:pPr>
            <w:r w:rsidRPr="00492426">
              <w:t>centrálne</w:t>
            </w:r>
          </w:p>
        </w:tc>
        <w:tc>
          <w:tcPr>
            <w:tcW w:w="850" w:type="dxa"/>
            <w:vAlign w:val="bottom"/>
          </w:tcPr>
          <w:p w14:paraId="587132C8" w14:textId="51093136" w:rsidR="00146088" w:rsidRPr="00492426" w:rsidRDefault="00146088" w:rsidP="00492426">
            <w:pPr>
              <w:pStyle w:val="Bezriadkovania"/>
            </w:pPr>
            <w:r w:rsidRPr="00492426">
              <w:t>2,465</w:t>
            </w:r>
          </w:p>
        </w:tc>
        <w:tc>
          <w:tcPr>
            <w:tcW w:w="850" w:type="dxa"/>
            <w:vAlign w:val="bottom"/>
          </w:tcPr>
          <w:p w14:paraId="09B61513" w14:textId="68B1D41C" w:rsidR="00146088" w:rsidRPr="00492426" w:rsidRDefault="00146088" w:rsidP="00492426">
            <w:pPr>
              <w:pStyle w:val="Bezriadkovania"/>
            </w:pPr>
            <w:r w:rsidRPr="00492426">
              <w:t>27,265</w:t>
            </w:r>
          </w:p>
        </w:tc>
        <w:tc>
          <w:tcPr>
            <w:tcW w:w="851" w:type="dxa"/>
            <w:vAlign w:val="bottom"/>
          </w:tcPr>
          <w:p w14:paraId="29533B64" w14:textId="09231ACE" w:rsidR="00146088" w:rsidRPr="00492426" w:rsidRDefault="00146088" w:rsidP="00492426">
            <w:pPr>
              <w:pStyle w:val="Bezriadkovania"/>
            </w:pPr>
            <w:r w:rsidRPr="00492426">
              <w:t>0,207</w:t>
            </w:r>
          </w:p>
        </w:tc>
        <w:tc>
          <w:tcPr>
            <w:tcW w:w="992" w:type="dxa"/>
            <w:vAlign w:val="bottom"/>
          </w:tcPr>
          <w:p w14:paraId="791A3BB9" w14:textId="22C80224" w:rsidR="00146088" w:rsidRPr="00492426" w:rsidRDefault="00146088" w:rsidP="00492426">
            <w:pPr>
              <w:pStyle w:val="Bezriadkovania"/>
            </w:pPr>
            <w:r w:rsidRPr="00492426">
              <w:t>1,629</w:t>
            </w:r>
          </w:p>
        </w:tc>
        <w:tc>
          <w:tcPr>
            <w:tcW w:w="807" w:type="dxa"/>
            <w:vAlign w:val="bottom"/>
          </w:tcPr>
          <w:p w14:paraId="7E722496" w14:textId="6E06E67B" w:rsidR="00146088" w:rsidRPr="00492426" w:rsidRDefault="00146088" w:rsidP="00492426">
            <w:pPr>
              <w:pStyle w:val="Bezriadkovania"/>
            </w:pPr>
            <w:r w:rsidRPr="00492426">
              <w:t>0,301</w:t>
            </w:r>
          </w:p>
        </w:tc>
        <w:tc>
          <w:tcPr>
            <w:tcW w:w="807" w:type="dxa"/>
            <w:vAlign w:val="bottom"/>
          </w:tcPr>
          <w:p w14:paraId="7BF27C69" w14:textId="4B8A23C0" w:rsidR="00146088" w:rsidRPr="00492426" w:rsidRDefault="00146088" w:rsidP="00492426">
            <w:pPr>
              <w:pStyle w:val="Bezriadkovania"/>
            </w:pPr>
            <w:r w:rsidRPr="00492426">
              <w:t>6566</w:t>
            </w:r>
          </w:p>
        </w:tc>
        <w:tc>
          <w:tcPr>
            <w:tcW w:w="807" w:type="dxa"/>
            <w:vAlign w:val="bottom"/>
          </w:tcPr>
          <w:p w14:paraId="209BB3F8" w14:textId="35BEBB49" w:rsidR="00146088" w:rsidRPr="00492426" w:rsidRDefault="00146088" w:rsidP="00492426">
            <w:pPr>
              <w:pStyle w:val="Bezriadkovania"/>
            </w:pPr>
            <w:r w:rsidRPr="00492426">
              <w:t>0,646</w:t>
            </w:r>
          </w:p>
        </w:tc>
        <w:tc>
          <w:tcPr>
            <w:tcW w:w="808" w:type="dxa"/>
            <w:vAlign w:val="bottom"/>
          </w:tcPr>
          <w:p w14:paraId="1053F342" w14:textId="71239E4F" w:rsidR="00146088" w:rsidRPr="00492426" w:rsidRDefault="00146088" w:rsidP="00492426">
            <w:pPr>
              <w:pStyle w:val="Bezriadkovania"/>
            </w:pPr>
            <w:r w:rsidRPr="00492426">
              <w:t>0,347</w:t>
            </w:r>
          </w:p>
        </w:tc>
        <w:tc>
          <w:tcPr>
            <w:tcW w:w="882" w:type="dxa"/>
            <w:vAlign w:val="bottom"/>
          </w:tcPr>
          <w:p w14:paraId="7FA7ED5C" w14:textId="049E1D06" w:rsidR="00146088" w:rsidRPr="00492426" w:rsidRDefault="00146088" w:rsidP="00492426">
            <w:pPr>
              <w:pStyle w:val="Bezriadkovania"/>
            </w:pPr>
            <w:r w:rsidRPr="00492426">
              <w:t>6685,5</w:t>
            </w:r>
          </w:p>
        </w:tc>
      </w:tr>
      <w:tr w:rsidR="00146088" w:rsidRPr="004D1ED1" w14:paraId="4D526404" w14:textId="77777777" w:rsidTr="00146088">
        <w:tc>
          <w:tcPr>
            <w:tcW w:w="1555" w:type="dxa"/>
          </w:tcPr>
          <w:p w14:paraId="75262A44" w14:textId="77777777" w:rsidR="00146088" w:rsidRPr="00492426" w:rsidRDefault="00146088" w:rsidP="00492426">
            <w:pPr>
              <w:pStyle w:val="Bezriadkovania"/>
            </w:pPr>
            <w:r w:rsidRPr="00492426">
              <w:t>mestské</w:t>
            </w:r>
          </w:p>
        </w:tc>
        <w:tc>
          <w:tcPr>
            <w:tcW w:w="850" w:type="dxa"/>
            <w:vAlign w:val="bottom"/>
          </w:tcPr>
          <w:p w14:paraId="3DFC37AE" w14:textId="2112AFA8" w:rsidR="00146088" w:rsidRPr="00492426" w:rsidRDefault="00146088" w:rsidP="00492426">
            <w:pPr>
              <w:pStyle w:val="Bezriadkovania"/>
            </w:pPr>
            <w:r w:rsidRPr="00492426">
              <w:t>1,813</w:t>
            </w:r>
          </w:p>
        </w:tc>
        <w:tc>
          <w:tcPr>
            <w:tcW w:w="850" w:type="dxa"/>
            <w:vAlign w:val="bottom"/>
          </w:tcPr>
          <w:p w14:paraId="0FF0E787" w14:textId="64E98124" w:rsidR="00146088" w:rsidRPr="00492426" w:rsidRDefault="00146088" w:rsidP="00492426">
            <w:pPr>
              <w:pStyle w:val="Bezriadkovania"/>
            </w:pPr>
            <w:r w:rsidRPr="00492426">
              <w:t>20,048</w:t>
            </w:r>
          </w:p>
        </w:tc>
        <w:tc>
          <w:tcPr>
            <w:tcW w:w="851" w:type="dxa"/>
            <w:vAlign w:val="bottom"/>
          </w:tcPr>
          <w:p w14:paraId="27EEED4D" w14:textId="6D0C3C5C" w:rsidR="00146088" w:rsidRPr="00492426" w:rsidRDefault="00146088" w:rsidP="00492426">
            <w:pPr>
              <w:pStyle w:val="Bezriadkovania"/>
            </w:pPr>
            <w:r w:rsidRPr="00492426">
              <w:t>0,152</w:t>
            </w:r>
          </w:p>
        </w:tc>
        <w:tc>
          <w:tcPr>
            <w:tcW w:w="992" w:type="dxa"/>
            <w:vAlign w:val="bottom"/>
          </w:tcPr>
          <w:p w14:paraId="141272D9" w14:textId="0974800C" w:rsidR="00146088" w:rsidRPr="00492426" w:rsidRDefault="00146088" w:rsidP="00492426">
            <w:pPr>
              <w:pStyle w:val="Bezriadkovania"/>
            </w:pPr>
            <w:r w:rsidRPr="00492426">
              <w:t>1,198</w:t>
            </w:r>
          </w:p>
        </w:tc>
        <w:tc>
          <w:tcPr>
            <w:tcW w:w="807" w:type="dxa"/>
            <w:vAlign w:val="bottom"/>
          </w:tcPr>
          <w:p w14:paraId="22CCBA70" w14:textId="5561121E" w:rsidR="00146088" w:rsidRPr="00492426" w:rsidRDefault="00146088" w:rsidP="00492426">
            <w:pPr>
              <w:pStyle w:val="Bezriadkovania"/>
            </w:pPr>
            <w:r w:rsidRPr="00492426">
              <w:t>0,221</w:t>
            </w:r>
          </w:p>
        </w:tc>
        <w:tc>
          <w:tcPr>
            <w:tcW w:w="807" w:type="dxa"/>
            <w:vAlign w:val="bottom"/>
          </w:tcPr>
          <w:p w14:paraId="231918BB" w14:textId="591C0219" w:rsidR="00146088" w:rsidRPr="00492426" w:rsidRDefault="00146088" w:rsidP="00492426">
            <w:pPr>
              <w:pStyle w:val="Bezriadkovania"/>
            </w:pPr>
            <w:r w:rsidRPr="00492426">
              <w:t>4828</w:t>
            </w:r>
          </w:p>
        </w:tc>
        <w:tc>
          <w:tcPr>
            <w:tcW w:w="807" w:type="dxa"/>
            <w:vAlign w:val="bottom"/>
          </w:tcPr>
          <w:p w14:paraId="14D680B3" w14:textId="25A55739" w:rsidR="00146088" w:rsidRPr="00492426" w:rsidRDefault="00146088" w:rsidP="00492426">
            <w:pPr>
              <w:pStyle w:val="Bezriadkovania"/>
            </w:pPr>
            <w:r w:rsidRPr="00492426">
              <w:t>0,475</w:t>
            </w:r>
          </w:p>
        </w:tc>
        <w:tc>
          <w:tcPr>
            <w:tcW w:w="808" w:type="dxa"/>
            <w:vAlign w:val="bottom"/>
          </w:tcPr>
          <w:p w14:paraId="04140070" w14:textId="530FDC41" w:rsidR="00146088" w:rsidRPr="00492426" w:rsidRDefault="00146088" w:rsidP="00492426">
            <w:pPr>
              <w:pStyle w:val="Bezriadkovania"/>
            </w:pPr>
            <w:r w:rsidRPr="00492426">
              <w:t>0,255</w:t>
            </w:r>
          </w:p>
        </w:tc>
        <w:tc>
          <w:tcPr>
            <w:tcW w:w="882" w:type="dxa"/>
            <w:vAlign w:val="bottom"/>
          </w:tcPr>
          <w:p w14:paraId="0E617F04" w14:textId="12054BED" w:rsidR="00146088" w:rsidRPr="00492426" w:rsidRDefault="00146088" w:rsidP="00492426">
            <w:pPr>
              <w:pStyle w:val="Bezriadkovania"/>
            </w:pPr>
            <w:r w:rsidRPr="00492426">
              <w:t>4916</w:t>
            </w:r>
          </w:p>
        </w:tc>
      </w:tr>
      <w:tr w:rsidR="00146088" w:rsidRPr="004D1ED1" w14:paraId="777EA6A9" w14:textId="77777777" w:rsidTr="00146088">
        <w:tc>
          <w:tcPr>
            <w:tcW w:w="1555" w:type="dxa"/>
          </w:tcPr>
          <w:p w14:paraId="6CD3C3B1" w14:textId="77777777" w:rsidR="00146088" w:rsidRPr="00492426" w:rsidRDefault="00146088" w:rsidP="00492426">
            <w:pPr>
              <w:pStyle w:val="Bezriadkovania"/>
            </w:pPr>
            <w:r w:rsidRPr="00492426">
              <w:t>extravilán</w:t>
            </w:r>
          </w:p>
        </w:tc>
        <w:tc>
          <w:tcPr>
            <w:tcW w:w="850" w:type="dxa"/>
            <w:vAlign w:val="bottom"/>
          </w:tcPr>
          <w:p w14:paraId="63ADA1FF" w14:textId="5EF5BB4B" w:rsidR="00146088" w:rsidRPr="00492426" w:rsidRDefault="00146088" w:rsidP="00492426">
            <w:pPr>
              <w:pStyle w:val="Bezriadkovania"/>
            </w:pPr>
            <w:r w:rsidRPr="00492426">
              <w:t>1,426</w:t>
            </w:r>
          </w:p>
        </w:tc>
        <w:tc>
          <w:tcPr>
            <w:tcW w:w="850" w:type="dxa"/>
            <w:vAlign w:val="bottom"/>
          </w:tcPr>
          <w:p w14:paraId="172C9E56" w14:textId="141F09D6" w:rsidR="00146088" w:rsidRPr="00492426" w:rsidRDefault="00146088" w:rsidP="00492426">
            <w:pPr>
              <w:pStyle w:val="Bezriadkovania"/>
            </w:pPr>
            <w:r w:rsidRPr="00492426">
              <w:t>15,771</w:t>
            </w:r>
          </w:p>
        </w:tc>
        <w:tc>
          <w:tcPr>
            <w:tcW w:w="851" w:type="dxa"/>
            <w:vAlign w:val="bottom"/>
          </w:tcPr>
          <w:p w14:paraId="25C315E5" w14:textId="05C90534" w:rsidR="00146088" w:rsidRPr="00492426" w:rsidRDefault="00146088" w:rsidP="00492426">
            <w:pPr>
              <w:pStyle w:val="Bezriadkovania"/>
            </w:pPr>
            <w:r w:rsidRPr="00492426">
              <w:t>0,120</w:t>
            </w:r>
          </w:p>
        </w:tc>
        <w:tc>
          <w:tcPr>
            <w:tcW w:w="992" w:type="dxa"/>
            <w:vAlign w:val="bottom"/>
          </w:tcPr>
          <w:p w14:paraId="482BC510" w14:textId="0BD940AF" w:rsidR="00146088" w:rsidRPr="00492426" w:rsidRDefault="00146088" w:rsidP="00492426">
            <w:pPr>
              <w:pStyle w:val="Bezriadkovania"/>
            </w:pPr>
            <w:r w:rsidRPr="00492426">
              <w:t>0,942</w:t>
            </w:r>
          </w:p>
        </w:tc>
        <w:tc>
          <w:tcPr>
            <w:tcW w:w="807" w:type="dxa"/>
            <w:vAlign w:val="bottom"/>
          </w:tcPr>
          <w:p w14:paraId="5233CC9B" w14:textId="2893342B" w:rsidR="00146088" w:rsidRPr="00492426" w:rsidRDefault="00146088" w:rsidP="00492426">
            <w:pPr>
              <w:pStyle w:val="Bezriadkovania"/>
            </w:pPr>
            <w:r w:rsidRPr="00492426">
              <w:t>0,174</w:t>
            </w:r>
          </w:p>
        </w:tc>
        <w:tc>
          <w:tcPr>
            <w:tcW w:w="807" w:type="dxa"/>
            <w:vAlign w:val="bottom"/>
          </w:tcPr>
          <w:p w14:paraId="283D2F53" w14:textId="47C57DBF" w:rsidR="00146088" w:rsidRPr="00492426" w:rsidRDefault="00146088" w:rsidP="00492426">
            <w:pPr>
              <w:pStyle w:val="Bezriadkovania"/>
            </w:pPr>
            <w:r w:rsidRPr="00492426">
              <w:t>3798</w:t>
            </w:r>
          </w:p>
        </w:tc>
        <w:tc>
          <w:tcPr>
            <w:tcW w:w="807" w:type="dxa"/>
            <w:vAlign w:val="bottom"/>
          </w:tcPr>
          <w:p w14:paraId="4E4D54E6" w14:textId="2379D0B2" w:rsidR="00146088" w:rsidRPr="00492426" w:rsidRDefault="00146088" w:rsidP="00492426">
            <w:pPr>
              <w:pStyle w:val="Bezriadkovania"/>
            </w:pPr>
            <w:r w:rsidRPr="00492426">
              <w:t>0,374</w:t>
            </w:r>
          </w:p>
        </w:tc>
        <w:tc>
          <w:tcPr>
            <w:tcW w:w="808" w:type="dxa"/>
            <w:vAlign w:val="bottom"/>
          </w:tcPr>
          <w:p w14:paraId="07BEDBEB" w14:textId="1348081F" w:rsidR="00146088" w:rsidRPr="00492426" w:rsidRDefault="00146088" w:rsidP="00492426">
            <w:pPr>
              <w:pStyle w:val="Bezriadkovania"/>
            </w:pPr>
            <w:r w:rsidRPr="00492426">
              <w:t>0,201</w:t>
            </w:r>
          </w:p>
        </w:tc>
        <w:tc>
          <w:tcPr>
            <w:tcW w:w="882" w:type="dxa"/>
            <w:vAlign w:val="bottom"/>
          </w:tcPr>
          <w:p w14:paraId="40076A1D" w14:textId="7BE3E4EC" w:rsidR="00146088" w:rsidRPr="00492426" w:rsidRDefault="00146088" w:rsidP="00492426">
            <w:pPr>
              <w:pStyle w:val="Bezriadkovania"/>
            </w:pPr>
            <w:r w:rsidRPr="00492426">
              <w:t>3867</w:t>
            </w:r>
          </w:p>
        </w:tc>
      </w:tr>
    </w:tbl>
    <w:p w14:paraId="38FA16D6" w14:textId="53CCD1DA" w:rsidR="002E771B" w:rsidRPr="00492426" w:rsidRDefault="00146088" w:rsidP="00492426">
      <w:pPr>
        <w:pStyle w:val="Citcia"/>
      </w:pPr>
      <w:r w:rsidRPr="00492426">
        <w:t>Zdroj: vlastný výpočet podľa Príručky CBA  v zmysle predpokladov</w:t>
      </w:r>
    </w:p>
    <w:p w14:paraId="016713AE" w14:textId="1D020F4A" w:rsidR="00C90CE8" w:rsidRPr="00DE1BB0" w:rsidRDefault="00A93BE8" w:rsidP="007B4858">
      <w:pPr>
        <w:pStyle w:val="Nadpis3"/>
      </w:pPr>
      <w:r w:rsidRPr="00DE1BB0">
        <w:lastRenderedPageBreak/>
        <w:t>Emisie skleníkových plynov (dopady klimatickej zmeny</w:t>
      </w:r>
      <w:r w:rsidR="00BA29C8" w:rsidRPr="00DE1BB0">
        <w:t>)</w:t>
      </w:r>
    </w:p>
    <w:p w14:paraId="73115D5A" w14:textId="360E7827" w:rsidR="00C90CE8" w:rsidRPr="004D1ED1" w:rsidRDefault="00C90CE8" w:rsidP="00492426">
      <w:r w:rsidRPr="004D1ED1">
        <w:t>Výpočet úspor emisií skleníkových plynov a finančné ohodnotenie zmenšených dopadov na klimatickú zmenu sú založené na totožných princípoch ako v predchádzajúcom prípade.</w:t>
      </w:r>
    </w:p>
    <w:p w14:paraId="60F9FF25" w14:textId="77777777" w:rsidR="00C90CE8" w:rsidRPr="004D1ED1" w:rsidRDefault="00C90CE8" w:rsidP="00492426">
      <w:r w:rsidRPr="004D1ED1">
        <w:t>Výsledné hodnoty benefitov podľa prostredia po uvážení jednotkových cien emisií v zmysle Príručky CBA potom predstavujú (v cenovej úrovni 2021):</w:t>
      </w:r>
    </w:p>
    <w:p w14:paraId="71BE0E0C" w14:textId="630ED472" w:rsidR="00C90CE8" w:rsidRPr="004D1ED1" w:rsidRDefault="00C90CE8" w:rsidP="00F47BC0">
      <w:pPr>
        <w:pStyle w:val="Odsekzoznamu"/>
      </w:pPr>
      <w:r w:rsidRPr="004D1ED1">
        <w:t>v centrálnom mestskom prostredí 0,697 EUR / 100 km prevedených z IAD</w:t>
      </w:r>
    </w:p>
    <w:p w14:paraId="232DD9DF" w14:textId="556C072E" w:rsidR="00C90CE8" w:rsidRPr="004D1ED1" w:rsidRDefault="00C90CE8" w:rsidP="00F47BC0">
      <w:pPr>
        <w:pStyle w:val="Odsekzoznamu"/>
      </w:pPr>
      <w:r w:rsidRPr="004D1ED1">
        <w:t>v bežnom mestskom prostredí 0,512 EUR / 100 km prevedených z IAD</w:t>
      </w:r>
    </w:p>
    <w:p w14:paraId="310C0F10" w14:textId="327F4A3E" w:rsidR="00C90CE8" w:rsidRPr="004D1ED1" w:rsidRDefault="00C90CE8" w:rsidP="00F47BC0">
      <w:pPr>
        <w:pStyle w:val="Odsekzoznamu"/>
      </w:pPr>
      <w:r w:rsidRPr="004D1ED1">
        <w:t>v extraviláne 0,</w:t>
      </w:r>
      <w:r w:rsidR="005B6A72" w:rsidRPr="004D1ED1">
        <w:t>404</w:t>
      </w:r>
      <w:r w:rsidRPr="004D1ED1">
        <w:t xml:space="preserve"> EUR / 100 km prevedených z IAD</w:t>
      </w:r>
    </w:p>
    <w:p w14:paraId="36AAA47E" w14:textId="77777777" w:rsidR="00C90CE8" w:rsidRPr="004D1ED1" w:rsidRDefault="00C90CE8" w:rsidP="00492426">
      <w:pPr>
        <w:pStyle w:val="Poznmka"/>
      </w:pPr>
      <w:r w:rsidRPr="004D1ED1">
        <w:t>Pozn.: Medzi týmito hodnotami možno interpolovať s dokladovaným prihliadnutím na podiely dochádzajúcich po trasách v príslušnom prostredí.</w:t>
      </w:r>
    </w:p>
    <w:p w14:paraId="642438D9" w14:textId="42FAA7B0" w:rsidR="00C90CE8" w:rsidRPr="008C58C7" w:rsidRDefault="008C58C7" w:rsidP="00492426">
      <w:r>
        <w:t>Podobne ako v prípade emisií znečisťujúcich látok, v prípade krátky</w:t>
      </w:r>
      <w:r w:rsidR="00294DFF">
        <w:t>ch</w:t>
      </w:r>
      <w:r>
        <w:t xml:space="preserve"> </w:t>
      </w:r>
      <w:r w:rsidR="00294DFF">
        <w:t xml:space="preserve">jázd sú emisie skleníkových plynov navýšené o emisný faktor </w:t>
      </w:r>
      <w:r w:rsidR="00294DFF" w:rsidRPr="00294DFF">
        <w:rPr>
          <w:i/>
          <w:iCs/>
        </w:rPr>
        <w:t>Fe</w:t>
      </w:r>
      <w:r w:rsidR="00294DFF">
        <w:t xml:space="preserve"> v závislosti od (priemernej) dĺžky ciest.</w:t>
      </w:r>
      <w:r>
        <w:t xml:space="preserve"> </w:t>
      </w:r>
      <w:r w:rsidR="00C90CE8" w:rsidRPr="008C58C7">
        <w:t>Jednotkové náklady sa</w:t>
      </w:r>
      <w:r w:rsidR="00E53C7A">
        <w:t xml:space="preserve"> </w:t>
      </w:r>
      <w:r w:rsidRPr="008C58C7">
        <w:t xml:space="preserve">však </w:t>
      </w:r>
      <w:r w:rsidR="00C90CE8" w:rsidRPr="008C58C7">
        <w:t xml:space="preserve">v čase neupravujú, a preto pre výpočet celkových diskontovaných benefitov za celé </w:t>
      </w:r>
      <w:r w:rsidR="003003F2">
        <w:t xml:space="preserve">návrhové obdobie 20 rokov </w:t>
      </w:r>
      <w:r w:rsidR="00C90CE8" w:rsidRPr="008C58C7">
        <w:t>možno p</w:t>
      </w:r>
      <w:r w:rsidR="005B6A72" w:rsidRPr="008C58C7">
        <w:t xml:space="preserve">oužiť prepočtový faktor </w:t>
      </w:r>
      <w:r w:rsidR="002A263A" w:rsidRPr="002A263A">
        <w:rPr>
          <w:i/>
          <w:iCs/>
        </w:rPr>
        <w:t xml:space="preserve">KFD = </w:t>
      </w:r>
      <w:r w:rsidR="002A263A">
        <w:rPr>
          <w:i/>
          <w:iCs/>
        </w:rPr>
        <w:t>12,462</w:t>
      </w:r>
      <w:r w:rsidR="005B6A72" w:rsidRPr="008C58C7">
        <w:t>.</w:t>
      </w:r>
    </w:p>
    <w:p w14:paraId="4CCCF6F6" w14:textId="70FB6D0D" w:rsidR="00836C92" w:rsidRPr="00B50CA1" w:rsidRDefault="00836C92" w:rsidP="00B50CA1">
      <w:pPr>
        <w:pStyle w:val="Nadpis3"/>
      </w:pPr>
      <w:r w:rsidRPr="00B50CA1">
        <w:t>Hluk</w:t>
      </w:r>
    </w:p>
    <w:p w14:paraId="78938DCC" w14:textId="2A3D50C6" w:rsidR="005B6A72" w:rsidRPr="00DE1BB0" w:rsidRDefault="005B6A72" w:rsidP="00DE1BB0">
      <w:r w:rsidRPr="00DE1BB0">
        <w:t>V zmysle Príručky CBA možno spoločenské prínosy vyplývajúce zo zníženia nadmerných hladín hluku z automobilovej dopravy stanoviť za pomoci jednotkových nákladov nasledovne:</w:t>
      </w:r>
    </w:p>
    <w:p w14:paraId="48658CA3" w14:textId="090938EF" w:rsidR="005B6A72" w:rsidRPr="004D1ED1" w:rsidRDefault="005B6A72" w:rsidP="00F47BC0">
      <w:pPr>
        <w:pStyle w:val="Odsekzoznamu"/>
      </w:pPr>
      <w:r w:rsidRPr="004D1ED1">
        <w:t>v centrálnom mestskom prostredí 1,40 EUR / 100 km prevedených z IAD</w:t>
      </w:r>
    </w:p>
    <w:p w14:paraId="7AD12958" w14:textId="45926D64" w:rsidR="005B6A72" w:rsidRPr="004D1ED1" w:rsidRDefault="005B6A72" w:rsidP="00F47BC0">
      <w:pPr>
        <w:pStyle w:val="Odsekzoznamu"/>
      </w:pPr>
      <w:r w:rsidRPr="004D1ED1">
        <w:t>v bežnom mestskom prostredí 0,090 EUR / 100 km prevedených z IAD</w:t>
      </w:r>
    </w:p>
    <w:p w14:paraId="452C16E5" w14:textId="239418CF" w:rsidR="005B6A72" w:rsidRPr="004D1ED1" w:rsidRDefault="005B6A72" w:rsidP="00F47BC0">
      <w:pPr>
        <w:pStyle w:val="Odsekzoznamu"/>
      </w:pPr>
      <w:r w:rsidRPr="004D1ED1">
        <w:t>v extraviláne 0,000 (nula) EUR / 100 km prevedených z IAD</w:t>
      </w:r>
    </w:p>
    <w:p w14:paraId="4AC14A73" w14:textId="77777777" w:rsidR="005B6A72" w:rsidRPr="004D1ED1" w:rsidRDefault="005B6A72" w:rsidP="00492426">
      <w:pPr>
        <w:pStyle w:val="Poznmka"/>
      </w:pPr>
      <w:r w:rsidRPr="004D1ED1">
        <w:t>Pozn.: Medzi týmito hodnotami možno interpolovať s dokladovaným prihliadnutím na podiely dochádzajúcich po trasách v príslušnom prostredí.</w:t>
      </w:r>
    </w:p>
    <w:p w14:paraId="7451F5D1" w14:textId="42077030" w:rsidR="005B6A72" w:rsidRPr="00DE1BB0" w:rsidRDefault="005B6A72" w:rsidP="00DE1BB0">
      <w:r w:rsidRPr="00DE1BB0">
        <w:t>Jednotkové náklady hluku sa v čase upravujú o rast HDP s elasticitou 0,7</w:t>
      </w:r>
      <w:r w:rsidR="00E53C7A" w:rsidRPr="00E53C7A">
        <w:t xml:space="preserve"> </w:t>
      </w:r>
      <w:r w:rsidR="00E53C7A">
        <w:t>a o infláciu na cenovú úroveň daného roku (výstavby)</w:t>
      </w:r>
      <w:r w:rsidRPr="00DE1BB0">
        <w:t xml:space="preserve">. Pre výpočet celkových diskontovaných benefitov za celé </w:t>
      </w:r>
      <w:r w:rsidR="003003F2">
        <w:t>návrhové obdobie 20</w:t>
      </w:r>
      <w:r w:rsidR="00E53C7A">
        <w:t> </w:t>
      </w:r>
      <w:r w:rsidR="003003F2">
        <w:t xml:space="preserve">rokov </w:t>
      </w:r>
      <w:r w:rsidRPr="00DE1BB0">
        <w:t xml:space="preserve">možno použiť prepočtový faktor </w:t>
      </w:r>
      <w:r w:rsidR="002A263A" w:rsidRPr="002A263A">
        <w:rPr>
          <w:i/>
          <w:iCs/>
        </w:rPr>
        <w:t>KFD = 14,034</w:t>
      </w:r>
      <w:r w:rsidRPr="00DE1BB0">
        <w:t>.</w:t>
      </w:r>
    </w:p>
    <w:p w14:paraId="4EE22302" w14:textId="77777777" w:rsidR="00B50CA1" w:rsidRPr="00B50CA1" w:rsidRDefault="00836C92" w:rsidP="00B50CA1">
      <w:pPr>
        <w:pStyle w:val="Nadpis3"/>
      </w:pPr>
      <w:r w:rsidRPr="00B50CA1">
        <w:t>Nehodovosť</w:t>
      </w:r>
    </w:p>
    <w:p w14:paraId="191B6A2D" w14:textId="0B86D691" w:rsidR="00095D46" w:rsidRPr="004D1ED1" w:rsidRDefault="00842F04" w:rsidP="00B50CA1">
      <w:r w:rsidRPr="004D1ED1">
        <w:t xml:space="preserve">Celospoločenské prínosy zo zníženia nehodovosti možno pre projekt započítať jedine vtedy, ak plánovaná je plne segregovaná trasa od </w:t>
      </w:r>
      <w:r w:rsidR="00943955" w:rsidRPr="004D1ED1">
        <w:t>motorovej aj pešej dopravy</w:t>
      </w:r>
      <w:r w:rsidRPr="004D1ED1">
        <w:t xml:space="preserve">. Aj v takom prípade možno </w:t>
      </w:r>
      <w:r w:rsidR="00943955" w:rsidRPr="004D1ED1">
        <w:t xml:space="preserve">ale </w:t>
      </w:r>
      <w:r w:rsidRPr="004D1ED1">
        <w:t>započítať len pomernú časť ušetrených nákladov na nehodovosť</w:t>
      </w:r>
      <w:r w:rsidR="00095D46" w:rsidRPr="004D1ED1">
        <w:t xml:space="preserve"> z prevedenej IAD (pre zjednodušenie a </w:t>
      </w:r>
      <w:r w:rsidR="00173C6A" w:rsidRPr="004D1ED1">
        <w:t>neexistenciu</w:t>
      </w:r>
      <w:r w:rsidR="00095D46" w:rsidRPr="004D1ED1">
        <w:t xml:space="preserve"> iných </w:t>
      </w:r>
      <w:r w:rsidR="00173C6A" w:rsidRPr="004D1ED1">
        <w:t>podkladov</w:t>
      </w:r>
      <w:r w:rsidR="00095D46" w:rsidRPr="004D1ED1">
        <w:t xml:space="preserve"> sa miera nehodovosti cyklistov uvažuje zodpovedajúca miere nehodovosti časti prevedenej prepravy z hromadnej dopravy)</w:t>
      </w:r>
      <w:r w:rsidRPr="004D1ED1">
        <w:t>, zodpovedajúcu (priemernej) dĺžke segregovanej časti trás</w:t>
      </w:r>
      <w:r w:rsidR="00095D46" w:rsidRPr="004D1ED1">
        <w:t>:</w:t>
      </w:r>
      <w:r w:rsidRPr="004D1ED1">
        <w:t xml:space="preserve"> </w:t>
      </w:r>
    </w:p>
    <w:p w14:paraId="6ADFCDD1" w14:textId="5FAD36FB" w:rsidR="00095D46" w:rsidRPr="003565F8" w:rsidRDefault="00842F04" w:rsidP="005A51B4">
      <w:pPr>
        <w:pStyle w:val="Odsekzoznamu"/>
        <w:ind w:left="567"/>
      </w:pPr>
      <w:r w:rsidRPr="003565F8">
        <w:rPr>
          <w:u w:val="single"/>
        </w:rPr>
        <w:t xml:space="preserve">V prípade </w:t>
      </w:r>
      <w:r w:rsidR="00095D46" w:rsidRPr="003565F8">
        <w:rPr>
          <w:u w:val="single"/>
        </w:rPr>
        <w:t>výpočtu podľa</w:t>
      </w:r>
      <w:r w:rsidRPr="003565F8">
        <w:rPr>
          <w:u w:val="single"/>
        </w:rPr>
        <w:t xml:space="preserve"> metódy A</w:t>
      </w:r>
      <w:r w:rsidRPr="003565F8">
        <w:t> </w:t>
      </w:r>
      <w:r w:rsidRPr="007D23E8">
        <w:t>sa uvažuje menšia hodnota z maximálne 50% dĺžky plne</w:t>
      </w:r>
      <w:r w:rsidR="00095D46" w:rsidRPr="007D23E8">
        <w:t> </w:t>
      </w:r>
      <w:r w:rsidRPr="007D23E8">
        <w:t>segregovanej časti plánovanej trasy alebo 50% priemernej dochádzkovej vzdialenosti. Táto</w:t>
      </w:r>
      <w:r w:rsidRPr="003565F8">
        <w:t xml:space="preserve"> dĺžka sa prenásobí uvažovaným počtom užívateľov za rok</w:t>
      </w:r>
      <w:r w:rsidR="00095D46" w:rsidRPr="003565F8">
        <w:t xml:space="preserve"> a uvažovaným podielom IAD na preveden</w:t>
      </w:r>
      <w:r w:rsidR="00943955" w:rsidRPr="003565F8">
        <w:t>e</w:t>
      </w:r>
      <w:r w:rsidR="00095D46" w:rsidRPr="003565F8">
        <w:t>j doprave (65% alebo 55%).</w:t>
      </w:r>
    </w:p>
    <w:p w14:paraId="46B3758C" w14:textId="5BE557E1" w:rsidR="00095D46" w:rsidRPr="004D1ED1" w:rsidRDefault="00095D46" w:rsidP="0009361F">
      <w:pPr>
        <w:pStyle w:val="Poznmka"/>
      </w:pPr>
      <w:r w:rsidRPr="004D1ED1">
        <w:rPr>
          <w:u w:val="single"/>
        </w:rPr>
        <w:t>Príklad:</w:t>
      </w:r>
      <w:r w:rsidRPr="004D1ED1">
        <w:t xml:space="preserve"> Dĺžka plánovanej cyklotrasy je 3,5 km, z toho 1,</w:t>
      </w:r>
      <w:r w:rsidR="00943955" w:rsidRPr="004D1ED1">
        <w:t>8</w:t>
      </w:r>
      <w:r w:rsidRPr="004D1ED1">
        <w:t xml:space="preserve"> km vedie novým koridorom, plne segregovaným od motorovej aj pešej dopravy</w:t>
      </w:r>
      <w:r w:rsidR="00943955" w:rsidRPr="004D1ED1">
        <w:t xml:space="preserve">. Podľa údajov z kampane „Do práce na bicykli“ budúci koridor využíva 8000 cyklistov za rok a priemerná dĺžka ciest </w:t>
      </w:r>
      <w:r w:rsidR="00B400D1" w:rsidRPr="004D1ED1">
        <w:t xml:space="preserve">v </w:t>
      </w:r>
      <w:r w:rsidR="00943955" w:rsidRPr="004D1ED1">
        <w:t>koridore je 2,7 km</w:t>
      </w:r>
      <w:r w:rsidR="00943955" w:rsidRPr="007D23E8">
        <w:t xml:space="preserve">. Uvažovaná výpočtová dĺžka segregovaných výkonov je teda min (50% z 1,8 km a 50% z 2,7 km) = </w:t>
      </w:r>
      <w:r w:rsidR="00BE6B69" w:rsidRPr="007D23E8">
        <w:t>0,90</w:t>
      </w:r>
      <w:r w:rsidR="00943955" w:rsidRPr="007D23E8">
        <w:t xml:space="preserve"> km</w:t>
      </w:r>
      <w:r w:rsidR="00943955" w:rsidRPr="004D1ED1">
        <w:t xml:space="preserve"> a pomerná časť </w:t>
      </w:r>
      <w:r w:rsidR="00B400D1" w:rsidRPr="004D1ED1">
        <w:t xml:space="preserve">prevedených </w:t>
      </w:r>
      <w:r w:rsidR="00943955" w:rsidRPr="004D1ED1">
        <w:t>dopravných výkonov</w:t>
      </w:r>
      <w:r w:rsidR="00B400D1" w:rsidRPr="004D1ED1">
        <w:t xml:space="preserve"> je pri podiele IAD rovné </w:t>
      </w:r>
      <w:r w:rsidR="00BC0A52" w:rsidRPr="004D1ED1">
        <w:t>5</w:t>
      </w:r>
      <w:r w:rsidR="00B400D1" w:rsidRPr="004D1ED1">
        <w:t xml:space="preserve">5% x 8000 užívateľov x </w:t>
      </w:r>
      <w:r w:rsidR="00BE6B69" w:rsidRPr="004D1ED1">
        <w:t>0,90</w:t>
      </w:r>
      <w:r w:rsidR="00B400D1" w:rsidRPr="004D1ED1">
        <w:t xml:space="preserve"> km = </w:t>
      </w:r>
      <w:r w:rsidR="00BC0A52" w:rsidRPr="004D1ED1">
        <w:t>396</w:t>
      </w:r>
      <w:r w:rsidR="00BE6B69" w:rsidRPr="004D1ED1">
        <w:t>0</w:t>
      </w:r>
      <w:r w:rsidR="00B400D1" w:rsidRPr="004D1ED1">
        <w:t xml:space="preserve"> kilometrov ročne.</w:t>
      </w:r>
    </w:p>
    <w:p w14:paraId="23E15C5A" w14:textId="499D6CE3" w:rsidR="00A73553" w:rsidRPr="003565F8" w:rsidRDefault="00A73553" w:rsidP="005A51B4">
      <w:pPr>
        <w:pStyle w:val="Odsekzoznamu"/>
        <w:ind w:left="426"/>
      </w:pPr>
      <w:r w:rsidRPr="003565F8">
        <w:rPr>
          <w:u w:val="single"/>
        </w:rPr>
        <w:t>V prípade výpočtu podľa metódy B</w:t>
      </w:r>
      <w:r w:rsidRPr="003565F8">
        <w:t xml:space="preserve"> je možné objem </w:t>
      </w:r>
      <w:r w:rsidR="002636F1" w:rsidRPr="003565F8">
        <w:t xml:space="preserve">plne </w:t>
      </w:r>
      <w:r w:rsidRPr="003565F8">
        <w:t>segregovaných</w:t>
      </w:r>
      <w:r w:rsidR="002636F1" w:rsidRPr="003565F8">
        <w:t xml:space="preserve"> „</w:t>
      </w:r>
      <w:proofErr w:type="spellStart"/>
      <w:r w:rsidR="002636F1" w:rsidRPr="003565F8">
        <w:t>cyklokilometrov</w:t>
      </w:r>
      <w:proofErr w:type="spellEnd"/>
      <w:r w:rsidR="002636F1" w:rsidRPr="003565F8">
        <w:t>“</w:t>
      </w:r>
      <w:r w:rsidRPr="003565F8">
        <w:t xml:space="preserve"> spočítať priamo a</w:t>
      </w:r>
      <w:r w:rsidR="002636F1" w:rsidRPr="003565F8">
        <w:t xml:space="preserve"> presnejšie, stanovením príslušných dĺžok využitia plne segregovaných úsekov </w:t>
      </w:r>
      <w:r w:rsidR="002636F1" w:rsidRPr="003565F8">
        <w:lastRenderedPageBreak/>
        <w:t xml:space="preserve">plánovanej trasy pre jednotlivé relácie zdroj-cieľ a príslušného predpokladaného podielu dochádzajúcich prevedených z IAD </w:t>
      </w:r>
      <w:r w:rsidR="002636F1" w:rsidRPr="007D23E8">
        <w:t>(viď príloha IIB).</w:t>
      </w:r>
    </w:p>
    <w:p w14:paraId="564CEC2B" w14:textId="0B57C5F0" w:rsidR="00836C92" w:rsidRPr="004D1ED1" w:rsidRDefault="00095D46" w:rsidP="003565F8">
      <w:r w:rsidRPr="004D1ED1">
        <w:t>Takto redukovaný objem „</w:t>
      </w:r>
      <w:proofErr w:type="spellStart"/>
      <w:r w:rsidRPr="004D1ED1">
        <w:t>cyklokilometrov</w:t>
      </w:r>
      <w:proofErr w:type="spellEnd"/>
      <w:r w:rsidRPr="004D1ED1">
        <w:t xml:space="preserve">“ sa </w:t>
      </w:r>
      <w:r w:rsidR="00B400D1" w:rsidRPr="004D1ED1">
        <w:t>prenásobí hodnotami relatívnej nehodovosti pri zohľadnení korekčných faktorov podľa stupňa závažnosti nehody</w:t>
      </w:r>
      <w:r w:rsidR="001839DB" w:rsidRPr="004D1ED1">
        <w:t xml:space="preserve">. Pre príslušné typy </w:t>
      </w:r>
      <w:r w:rsidR="000B63C8" w:rsidRPr="004D1ED1">
        <w:t>ciest, ktoré sú priamo paralelné so segregovanými úsekmi cyklistickej infraštruktúry</w:t>
      </w:r>
      <w:r w:rsidR="001839DB" w:rsidRPr="004D1ED1">
        <w:t xml:space="preserve"> sa odporúča použiť hodnoty </w:t>
      </w:r>
      <w:r w:rsidR="001839DB" w:rsidRPr="007D23E8">
        <w:t xml:space="preserve">podľa Tabuľky </w:t>
      </w:r>
      <w:r w:rsidR="00866F4D">
        <w:t>4</w:t>
      </w:r>
      <w:r w:rsidR="001839DB" w:rsidRPr="004D1ED1">
        <w:t>.</w:t>
      </w:r>
      <w:r w:rsidR="008866FA" w:rsidRPr="004D1ED1">
        <w:t xml:space="preserve"> </w:t>
      </w:r>
    </w:p>
    <w:p w14:paraId="1A5BC771" w14:textId="53CFAE4F" w:rsidR="000B63C8" w:rsidRPr="00294DFF" w:rsidRDefault="000B63C8" w:rsidP="00DE1BB0">
      <w:pPr>
        <w:rPr>
          <w:rStyle w:val="Intenzvnezvraznenie"/>
          <w:sz w:val="20"/>
          <w:szCs w:val="20"/>
        </w:rPr>
      </w:pPr>
      <w:r w:rsidRPr="00294DFF">
        <w:rPr>
          <w:rStyle w:val="Intenzvnezvraznenie"/>
          <w:sz w:val="20"/>
          <w:szCs w:val="20"/>
        </w:rPr>
        <w:t xml:space="preserve">Tab. </w:t>
      </w:r>
      <w:r w:rsidR="005B6A72" w:rsidRPr="00294DFF">
        <w:rPr>
          <w:rStyle w:val="Intenzvnezvraznenie"/>
          <w:sz w:val="20"/>
          <w:szCs w:val="20"/>
        </w:rPr>
        <w:t>4</w:t>
      </w:r>
      <w:r w:rsidRPr="00294DFF">
        <w:rPr>
          <w:rStyle w:val="Intenzvnezvraznenie"/>
          <w:sz w:val="20"/>
          <w:szCs w:val="20"/>
        </w:rPr>
        <w:t xml:space="preserve"> Odporúčané hodnoty relatívnej nehodovosti, vr. korekčných faktorov (nehôd/100 mil. voz.km)</w:t>
      </w:r>
    </w:p>
    <w:tbl>
      <w:tblPr>
        <w:tblStyle w:val="Mriekatabuky"/>
        <w:tblW w:w="9126" w:type="dxa"/>
        <w:tblLayout w:type="fixed"/>
        <w:tblCellMar>
          <w:left w:w="85" w:type="dxa"/>
          <w:right w:w="85" w:type="dxa"/>
        </w:tblCellMar>
        <w:tblLook w:val="04A0" w:firstRow="1" w:lastRow="0" w:firstColumn="1" w:lastColumn="0" w:noHBand="0" w:noVBand="1"/>
      </w:tblPr>
      <w:tblGrid>
        <w:gridCol w:w="3964"/>
        <w:gridCol w:w="1720"/>
        <w:gridCol w:w="1721"/>
        <w:gridCol w:w="1721"/>
      </w:tblGrid>
      <w:tr w:rsidR="000B63C8" w:rsidRPr="004D1ED1" w14:paraId="386043BB" w14:textId="77777777" w:rsidTr="008603C8">
        <w:tc>
          <w:tcPr>
            <w:tcW w:w="3964" w:type="dxa"/>
          </w:tcPr>
          <w:p w14:paraId="4DFEEDE7" w14:textId="57F6731D" w:rsidR="000B63C8" w:rsidRPr="004D1ED1" w:rsidRDefault="00294DFF" w:rsidP="00294DFF">
            <w:pPr>
              <w:pStyle w:val="Bezriadkovania"/>
              <w:jc w:val="right"/>
            </w:pPr>
            <w:r>
              <w:t>T</w:t>
            </w:r>
            <w:r w:rsidR="000B63C8" w:rsidRPr="004D1ED1">
              <w:t>yp nehody</w:t>
            </w:r>
          </w:p>
        </w:tc>
        <w:tc>
          <w:tcPr>
            <w:tcW w:w="1720" w:type="dxa"/>
          </w:tcPr>
          <w:p w14:paraId="1C89BFC3" w14:textId="66F77027" w:rsidR="000B63C8" w:rsidRPr="004D1ED1" w:rsidRDefault="000B63C8" w:rsidP="003565F8">
            <w:pPr>
              <w:pStyle w:val="Bezriadkovania"/>
            </w:pPr>
            <w:r w:rsidRPr="004D1ED1">
              <w:t>smrteľné</w:t>
            </w:r>
          </w:p>
        </w:tc>
        <w:tc>
          <w:tcPr>
            <w:tcW w:w="1721" w:type="dxa"/>
          </w:tcPr>
          <w:p w14:paraId="7A8D4B0E" w14:textId="6F24443B" w:rsidR="000B63C8" w:rsidRPr="004D1ED1" w:rsidRDefault="000B63C8" w:rsidP="003565F8">
            <w:pPr>
              <w:pStyle w:val="Bezriadkovania"/>
            </w:pPr>
            <w:r w:rsidRPr="004D1ED1">
              <w:t>ťažké zranenie</w:t>
            </w:r>
          </w:p>
        </w:tc>
        <w:tc>
          <w:tcPr>
            <w:tcW w:w="1721" w:type="dxa"/>
          </w:tcPr>
          <w:p w14:paraId="2E31679A" w14:textId="7594BEFE" w:rsidR="000B63C8" w:rsidRPr="004D1ED1" w:rsidRDefault="000B63C8" w:rsidP="003565F8">
            <w:pPr>
              <w:pStyle w:val="Bezriadkovania"/>
            </w:pPr>
            <w:r w:rsidRPr="004D1ED1">
              <w:t>ľahké zranenie</w:t>
            </w:r>
          </w:p>
        </w:tc>
      </w:tr>
      <w:tr w:rsidR="008603C8" w:rsidRPr="004D1ED1" w14:paraId="09325E35" w14:textId="77777777" w:rsidTr="008603C8">
        <w:tc>
          <w:tcPr>
            <w:tcW w:w="3964" w:type="dxa"/>
          </w:tcPr>
          <w:p w14:paraId="62F9F721" w14:textId="5AACC3CE" w:rsidR="008603C8" w:rsidRPr="004D1ED1" w:rsidRDefault="008603C8" w:rsidP="003565F8">
            <w:pPr>
              <w:pStyle w:val="Bezriadkovania"/>
            </w:pPr>
            <w:r w:rsidRPr="004D1ED1">
              <w:t>náklady následkov nehôd EUR / nehoda</w:t>
            </w:r>
          </w:p>
        </w:tc>
        <w:tc>
          <w:tcPr>
            <w:tcW w:w="1720" w:type="dxa"/>
            <w:vAlign w:val="bottom"/>
          </w:tcPr>
          <w:p w14:paraId="2A8A98BD" w14:textId="0994FCF2" w:rsidR="008603C8" w:rsidRPr="004D1ED1" w:rsidRDefault="008603C8" w:rsidP="003565F8">
            <w:pPr>
              <w:pStyle w:val="Bezriadkovania"/>
            </w:pPr>
            <w:r w:rsidRPr="004D1ED1">
              <w:t>3 296 699</w:t>
            </w:r>
          </w:p>
        </w:tc>
        <w:tc>
          <w:tcPr>
            <w:tcW w:w="1721" w:type="dxa"/>
            <w:vAlign w:val="bottom"/>
          </w:tcPr>
          <w:p w14:paraId="221245C8" w14:textId="33B88890" w:rsidR="008603C8" w:rsidRPr="004D1ED1" w:rsidRDefault="008603C8" w:rsidP="003565F8">
            <w:pPr>
              <w:pStyle w:val="Bezriadkovania"/>
            </w:pPr>
            <w:r w:rsidRPr="004D1ED1">
              <w:t>468 484</w:t>
            </w:r>
          </w:p>
        </w:tc>
        <w:tc>
          <w:tcPr>
            <w:tcW w:w="1721" w:type="dxa"/>
            <w:vAlign w:val="bottom"/>
          </w:tcPr>
          <w:p w14:paraId="320BC932" w14:textId="495BBC14" w:rsidR="008603C8" w:rsidRPr="004D1ED1" w:rsidRDefault="008603C8" w:rsidP="003565F8">
            <w:pPr>
              <w:pStyle w:val="Bezriadkovania"/>
            </w:pPr>
            <w:r w:rsidRPr="004D1ED1">
              <w:t>36 161</w:t>
            </w:r>
          </w:p>
        </w:tc>
      </w:tr>
      <w:tr w:rsidR="000B63C8" w:rsidRPr="004D1ED1" w14:paraId="7BDDE944" w14:textId="77777777" w:rsidTr="008603C8">
        <w:tc>
          <w:tcPr>
            <w:tcW w:w="3964" w:type="dxa"/>
          </w:tcPr>
          <w:p w14:paraId="60132D08" w14:textId="7F9EDFAB" w:rsidR="000B63C8" w:rsidRPr="004D1ED1" w:rsidRDefault="008603C8" w:rsidP="003565F8">
            <w:pPr>
              <w:pStyle w:val="Bezriadkovania"/>
            </w:pPr>
            <w:r w:rsidRPr="004D1ED1">
              <w:t xml:space="preserve">nehôd na 100 mil. voz.km - </w:t>
            </w:r>
            <w:r w:rsidR="000B63C8" w:rsidRPr="004D1ED1">
              <w:t>intravilán</w:t>
            </w:r>
          </w:p>
        </w:tc>
        <w:tc>
          <w:tcPr>
            <w:tcW w:w="1720" w:type="dxa"/>
            <w:vAlign w:val="bottom"/>
          </w:tcPr>
          <w:p w14:paraId="39205261" w14:textId="13037C79" w:rsidR="000B63C8" w:rsidRPr="004D1ED1" w:rsidRDefault="000B63C8" w:rsidP="003565F8">
            <w:pPr>
              <w:pStyle w:val="Bezriadkovania"/>
            </w:pPr>
          </w:p>
        </w:tc>
        <w:tc>
          <w:tcPr>
            <w:tcW w:w="1721" w:type="dxa"/>
            <w:vAlign w:val="bottom"/>
          </w:tcPr>
          <w:p w14:paraId="394CE56F" w14:textId="763CB05A" w:rsidR="000B63C8" w:rsidRPr="004D1ED1" w:rsidRDefault="000B63C8" w:rsidP="003565F8">
            <w:pPr>
              <w:pStyle w:val="Bezriadkovania"/>
            </w:pPr>
          </w:p>
        </w:tc>
        <w:tc>
          <w:tcPr>
            <w:tcW w:w="1721" w:type="dxa"/>
            <w:vAlign w:val="bottom"/>
          </w:tcPr>
          <w:p w14:paraId="227EF731" w14:textId="33AAC23A" w:rsidR="000B63C8" w:rsidRPr="004D1ED1" w:rsidRDefault="000B63C8" w:rsidP="003565F8">
            <w:pPr>
              <w:pStyle w:val="Bezriadkovania"/>
            </w:pPr>
          </w:p>
        </w:tc>
      </w:tr>
      <w:tr w:rsidR="000B63C8" w:rsidRPr="004D1ED1" w14:paraId="09182853" w14:textId="77777777" w:rsidTr="008603C8">
        <w:tc>
          <w:tcPr>
            <w:tcW w:w="3964" w:type="dxa"/>
          </w:tcPr>
          <w:p w14:paraId="0B4AC713" w14:textId="656B49F4" w:rsidR="000B63C8" w:rsidRPr="004D1ED1" w:rsidRDefault="008603C8" w:rsidP="003565F8">
            <w:pPr>
              <w:pStyle w:val="Bezriadkovania"/>
            </w:pPr>
            <w:r w:rsidRPr="004D1ED1">
              <w:t>nehôd na 100 mil. voz.km - intravilán</w:t>
            </w:r>
          </w:p>
        </w:tc>
        <w:tc>
          <w:tcPr>
            <w:tcW w:w="1720" w:type="dxa"/>
            <w:vAlign w:val="bottom"/>
          </w:tcPr>
          <w:p w14:paraId="4863063F" w14:textId="44637D5F" w:rsidR="000B63C8" w:rsidRPr="004D1ED1" w:rsidRDefault="000B63C8" w:rsidP="003565F8">
            <w:pPr>
              <w:pStyle w:val="Bezriadkovania"/>
            </w:pPr>
            <w:r w:rsidRPr="004D1ED1">
              <w:t>1,112</w:t>
            </w:r>
          </w:p>
        </w:tc>
        <w:tc>
          <w:tcPr>
            <w:tcW w:w="1721" w:type="dxa"/>
            <w:vAlign w:val="bottom"/>
          </w:tcPr>
          <w:p w14:paraId="1574FC49" w14:textId="7A36A510" w:rsidR="000B63C8" w:rsidRPr="004D1ED1" w:rsidRDefault="000B63C8" w:rsidP="003565F8">
            <w:pPr>
              <w:pStyle w:val="Bezriadkovania"/>
            </w:pPr>
            <w:r w:rsidRPr="004D1ED1">
              <w:t>6,541</w:t>
            </w:r>
          </w:p>
        </w:tc>
        <w:tc>
          <w:tcPr>
            <w:tcW w:w="1721" w:type="dxa"/>
            <w:vAlign w:val="bottom"/>
          </w:tcPr>
          <w:p w14:paraId="6EDC00D0" w14:textId="2B22E596" w:rsidR="000B63C8" w:rsidRPr="004D1ED1" w:rsidRDefault="000B63C8" w:rsidP="003565F8">
            <w:pPr>
              <w:pStyle w:val="Bezriadkovania"/>
            </w:pPr>
            <w:r w:rsidRPr="004D1ED1">
              <w:t>47,969</w:t>
            </w:r>
          </w:p>
        </w:tc>
      </w:tr>
      <w:tr w:rsidR="008603C8" w:rsidRPr="004D1ED1" w14:paraId="76526E84" w14:textId="77777777" w:rsidTr="008603C8">
        <w:tc>
          <w:tcPr>
            <w:tcW w:w="3964" w:type="dxa"/>
          </w:tcPr>
          <w:p w14:paraId="6EA413EF" w14:textId="4715E273" w:rsidR="008603C8" w:rsidRPr="004D1ED1" w:rsidRDefault="008603C8" w:rsidP="003565F8">
            <w:pPr>
              <w:pStyle w:val="Bezriadkovania"/>
            </w:pPr>
            <w:r w:rsidRPr="004D1ED1">
              <w:t>úspora na 100 voz. km IAD - intravilán</w:t>
            </w:r>
          </w:p>
        </w:tc>
        <w:tc>
          <w:tcPr>
            <w:tcW w:w="1720" w:type="dxa"/>
            <w:vAlign w:val="bottom"/>
          </w:tcPr>
          <w:p w14:paraId="279DA752" w14:textId="77777777" w:rsidR="008603C8" w:rsidRPr="004D1ED1" w:rsidRDefault="008603C8" w:rsidP="003565F8">
            <w:pPr>
              <w:pStyle w:val="Bezriadkovania"/>
            </w:pPr>
          </w:p>
        </w:tc>
        <w:tc>
          <w:tcPr>
            <w:tcW w:w="1721" w:type="dxa"/>
            <w:vAlign w:val="bottom"/>
          </w:tcPr>
          <w:p w14:paraId="6628B30D" w14:textId="77777777" w:rsidR="008603C8" w:rsidRPr="004D1ED1" w:rsidRDefault="008603C8" w:rsidP="003565F8">
            <w:pPr>
              <w:pStyle w:val="Bezriadkovania"/>
            </w:pPr>
          </w:p>
        </w:tc>
        <w:tc>
          <w:tcPr>
            <w:tcW w:w="1721" w:type="dxa"/>
            <w:vAlign w:val="bottom"/>
          </w:tcPr>
          <w:p w14:paraId="4269F7C1" w14:textId="77777777" w:rsidR="008603C8" w:rsidRPr="004D1ED1" w:rsidRDefault="008603C8" w:rsidP="003565F8">
            <w:pPr>
              <w:pStyle w:val="Bezriadkovania"/>
            </w:pPr>
          </w:p>
        </w:tc>
      </w:tr>
      <w:tr w:rsidR="008603C8" w:rsidRPr="004D1ED1" w14:paraId="06043BEA" w14:textId="77777777" w:rsidTr="008603C8">
        <w:tc>
          <w:tcPr>
            <w:tcW w:w="3964" w:type="dxa"/>
          </w:tcPr>
          <w:p w14:paraId="5366C220" w14:textId="077DF163" w:rsidR="008603C8" w:rsidRPr="004D1ED1" w:rsidRDefault="008603C8" w:rsidP="003565F8">
            <w:pPr>
              <w:pStyle w:val="Bezriadkovania"/>
            </w:pPr>
            <w:r w:rsidRPr="004D1ED1">
              <w:t>úspora na 100 voz. km IAD - extravilán</w:t>
            </w:r>
          </w:p>
        </w:tc>
        <w:tc>
          <w:tcPr>
            <w:tcW w:w="1720" w:type="dxa"/>
            <w:vAlign w:val="bottom"/>
          </w:tcPr>
          <w:p w14:paraId="28322F5A" w14:textId="071B4E13" w:rsidR="008603C8" w:rsidRPr="004D1ED1" w:rsidRDefault="008603C8" w:rsidP="003565F8">
            <w:pPr>
              <w:pStyle w:val="Bezriadkovania"/>
            </w:pPr>
            <w:r w:rsidRPr="004D1ED1">
              <w:t>3,666</w:t>
            </w:r>
          </w:p>
        </w:tc>
        <w:tc>
          <w:tcPr>
            <w:tcW w:w="1721" w:type="dxa"/>
            <w:vAlign w:val="bottom"/>
          </w:tcPr>
          <w:p w14:paraId="284F4E7D" w14:textId="1591FD85" w:rsidR="008603C8" w:rsidRPr="004D1ED1" w:rsidRDefault="008603C8" w:rsidP="003565F8">
            <w:pPr>
              <w:pStyle w:val="Bezriadkovania"/>
            </w:pPr>
            <w:r w:rsidRPr="004D1ED1">
              <w:t>3,064</w:t>
            </w:r>
          </w:p>
        </w:tc>
        <w:tc>
          <w:tcPr>
            <w:tcW w:w="1721" w:type="dxa"/>
            <w:vAlign w:val="bottom"/>
          </w:tcPr>
          <w:p w14:paraId="0582CD22" w14:textId="59CD4CA9" w:rsidR="008603C8" w:rsidRPr="004D1ED1" w:rsidRDefault="008603C8" w:rsidP="003565F8">
            <w:pPr>
              <w:pStyle w:val="Bezriadkovania"/>
            </w:pPr>
            <w:r w:rsidRPr="004D1ED1">
              <w:t>1,735</w:t>
            </w:r>
          </w:p>
        </w:tc>
      </w:tr>
    </w:tbl>
    <w:p w14:paraId="15CE566E" w14:textId="3710DEF2" w:rsidR="00E53C7A" w:rsidRDefault="00E53C7A" w:rsidP="00E53C7A">
      <w:r w:rsidRPr="00DE1BB0">
        <w:t xml:space="preserve">Jednotkové náklady </w:t>
      </w:r>
      <w:r>
        <w:t>nehodovosti</w:t>
      </w:r>
      <w:r w:rsidRPr="00DE1BB0">
        <w:t xml:space="preserve"> sa v čase upravujú o rast HDP s elasticitou 0,7</w:t>
      </w:r>
      <w:r w:rsidRPr="00E53C7A">
        <w:t xml:space="preserve"> </w:t>
      </w:r>
      <w:r>
        <w:t>a o infláciu na cenovú úroveň daného roku (výstavby)</w:t>
      </w:r>
      <w:r w:rsidRPr="00DE1BB0">
        <w:t xml:space="preserve">. Pre výpočet celkových diskontovaných benefitov za celé </w:t>
      </w:r>
      <w:r>
        <w:t xml:space="preserve">návrhové obdobie 20 rokov </w:t>
      </w:r>
      <w:r w:rsidRPr="00DE1BB0">
        <w:t xml:space="preserve">možno použiť prepočtový faktor </w:t>
      </w:r>
      <w:r w:rsidRPr="002A263A">
        <w:rPr>
          <w:i/>
          <w:iCs/>
        </w:rPr>
        <w:t>KFD = 14,034</w:t>
      </w:r>
      <w:r w:rsidRPr="00DE1BB0">
        <w:t>.</w:t>
      </w:r>
    </w:p>
    <w:p w14:paraId="41A1B683" w14:textId="22081EAF" w:rsidR="001C4CAC" w:rsidRDefault="005324B7" w:rsidP="00E53C7A">
      <w:r>
        <w:t>Alternatívnym spôsobom uvažovania nehodovosti, resp. naopak bezpečnosti, je jej vplyv priamo na potenciál využívania. Možno predpokladať, že celý potenciál dopytu bude dosiahnutý len v prípade, že vybudovaná cyklistická infraštruktúra bude spĺňať náležité bezpečnostné požiadavky a</w:t>
      </w:r>
      <w:r w:rsidR="001C4CAC">
        <w:t> </w:t>
      </w:r>
      <w:r>
        <w:t>že</w:t>
      </w:r>
      <w:r w:rsidR="001C4CAC">
        <w:t xml:space="preserve"> </w:t>
      </w:r>
      <w:r w:rsidR="001C4CAC">
        <w:t xml:space="preserve">potenciál dopytu </w:t>
      </w:r>
      <w:r w:rsidR="001C4CAC">
        <w:t xml:space="preserve">poklesne </w:t>
      </w:r>
      <w:r w:rsidR="001C4CAC">
        <w:t>úmerne</w:t>
      </w:r>
      <w:r w:rsidR="001C4CAC">
        <w:t xml:space="preserve"> podielu rozsahu tej časti siete, kde</w:t>
      </w:r>
      <w:r w:rsidR="001C4CAC">
        <w:t xml:space="preserve"> </w:t>
      </w:r>
      <w:r>
        <w:t>tieto nebudú dodržané</w:t>
      </w:r>
      <w:r w:rsidR="001C4CAC">
        <w:t xml:space="preserve">. Ak teda nie je možné dodržať potrebné bezpečnostné zásady na X % cyklistickej siete v danej lokalite, </w:t>
      </w:r>
      <w:r w:rsidR="00C509AE">
        <w:t xml:space="preserve">rovnako </w:t>
      </w:r>
      <w:r w:rsidR="00C509AE">
        <w:t>o X %</w:t>
      </w:r>
      <w:r w:rsidR="00C509AE">
        <w:t xml:space="preserve"> by mal byť znížený aj </w:t>
      </w:r>
      <w:r w:rsidR="001C4CAC">
        <w:t>po</w:t>
      </w:r>
      <w:r w:rsidR="00C509AE">
        <w:t>tenciál dopytu pre účely CBA.</w:t>
      </w:r>
    </w:p>
    <w:p w14:paraId="68CC1A6E" w14:textId="34305C67" w:rsidR="00C321A2" w:rsidRPr="00C321A2" w:rsidRDefault="001C4CAC" w:rsidP="00C321A2">
      <w:r>
        <w:t>Obdobný princíp možno uplatniť aj v prípade napr. nedodržania optimálnych technických požiadaviek.</w:t>
      </w:r>
    </w:p>
    <w:p w14:paraId="2C09F9C0" w14:textId="04A90D53" w:rsidR="00294DFF" w:rsidRPr="00B50CA1" w:rsidRDefault="00294DFF" w:rsidP="00294DFF">
      <w:pPr>
        <w:pStyle w:val="Nadpis3"/>
      </w:pPr>
      <w:r>
        <w:t>Prepočet prínosov za celé návrhové obdobie</w:t>
      </w:r>
    </w:p>
    <w:p w14:paraId="24623B79" w14:textId="34F5AB1B" w:rsidR="00866F4D" w:rsidRDefault="00294DFF" w:rsidP="00DE1BB0">
      <w:r>
        <w:t xml:space="preserve">Všetky vyššie uvedené jednotkové </w:t>
      </w:r>
      <w:r w:rsidR="00866F4D">
        <w:t>náklady</w:t>
      </w:r>
      <w:r>
        <w:t xml:space="preserve"> čiastkových prínosov platia pre rok 2021 a sú uvedené v cenovej úrovni r. 2021. V zmysle všeobecných pravidiel metodiky CBA sa </w:t>
      </w:r>
      <w:r w:rsidR="00866F4D">
        <w:t>jednotkové náklady</w:t>
      </w:r>
      <w:r>
        <w:t xml:space="preserve"> v ďalš</w:t>
      </w:r>
      <w:r w:rsidR="00866F4D">
        <w:t>í</w:t>
      </w:r>
      <w:r>
        <w:t xml:space="preserve">ch rokoch hodnotiaceho obdobia navyšujú </w:t>
      </w:r>
      <w:r w:rsidR="00866F4D">
        <w:t>jednak o infláciu, ako aj rast HDP s rôznou mierou elasticity (0,0 – 1,0). Po zohľadnení</w:t>
      </w:r>
      <w:r>
        <w:t xml:space="preserve"> </w:t>
      </w:r>
      <w:proofErr w:type="spellStart"/>
      <w:r w:rsidR="00866F4D">
        <w:t>diskontácie</w:t>
      </w:r>
      <w:proofErr w:type="spellEnd"/>
      <w:r w:rsidR="00866F4D">
        <w:t xml:space="preserve"> je možné celkovú sumu jednotlivých druhov prínosov za celé hodnotiace obdobie určiť nasledovným spôsobom:</w:t>
      </w:r>
    </w:p>
    <w:p w14:paraId="4FB208D8" w14:textId="7BFECCBA" w:rsidR="00866F4D" w:rsidRPr="00866F4D" w:rsidRDefault="00866F4D" w:rsidP="006523FF">
      <w:pPr>
        <w:spacing w:after="120"/>
        <w:jc w:val="center"/>
        <w:rPr>
          <w:i/>
          <w:iCs/>
        </w:rPr>
      </w:pPr>
      <w:proofErr w:type="spellStart"/>
      <w:r w:rsidRPr="00866F4D">
        <w:rPr>
          <w:i/>
          <w:iCs/>
        </w:rPr>
        <w:t>Pn</w:t>
      </w:r>
      <w:proofErr w:type="spellEnd"/>
      <w:r>
        <w:rPr>
          <w:i/>
          <w:iCs/>
        </w:rPr>
        <w:t>(</w:t>
      </w:r>
      <w:r w:rsidRPr="00866F4D">
        <w:rPr>
          <w:i/>
          <w:iCs/>
        </w:rPr>
        <w:t>i</w:t>
      </w:r>
      <w:r>
        <w:rPr>
          <w:i/>
          <w:iCs/>
        </w:rPr>
        <w:t xml:space="preserve">) = </w:t>
      </w:r>
      <w:proofErr w:type="spellStart"/>
      <w:r>
        <w:rPr>
          <w:i/>
          <w:iCs/>
        </w:rPr>
        <w:t>Pn</w:t>
      </w:r>
      <w:proofErr w:type="spellEnd"/>
      <w:r>
        <w:rPr>
          <w:i/>
          <w:iCs/>
        </w:rPr>
        <w:t xml:space="preserve">(2021) x </w:t>
      </w:r>
      <w:r w:rsidR="008D6D0A">
        <w:rPr>
          <w:i/>
          <w:iCs/>
        </w:rPr>
        <w:t xml:space="preserve">[1 + </w:t>
      </w:r>
      <w:r w:rsidR="00606FC3">
        <w:rPr>
          <w:i/>
          <w:iCs/>
        </w:rPr>
        <w:t>ΔCPI</w:t>
      </w:r>
      <w:r>
        <w:rPr>
          <w:i/>
          <w:iCs/>
        </w:rPr>
        <w:t>(2021</w:t>
      </w:r>
      <w:r w:rsidR="00606FC3">
        <w:rPr>
          <w:i/>
          <w:iCs/>
        </w:rPr>
        <w:t xml:space="preserve"> – i</w:t>
      </w:r>
      <w:r>
        <w:rPr>
          <w:i/>
          <w:iCs/>
        </w:rPr>
        <w:t>)</w:t>
      </w:r>
      <w:r w:rsidR="008D6D0A">
        <w:rPr>
          <w:i/>
          <w:iCs/>
        </w:rPr>
        <w:t>]</w:t>
      </w:r>
      <w:r>
        <w:rPr>
          <w:i/>
          <w:iCs/>
        </w:rPr>
        <w:t xml:space="preserve"> x </w:t>
      </w:r>
      <w:r w:rsidR="008D6D0A">
        <w:rPr>
          <w:i/>
          <w:iCs/>
        </w:rPr>
        <w:t xml:space="preserve">[1 + </w:t>
      </w:r>
      <w:r w:rsidR="00606FC3">
        <w:rPr>
          <w:i/>
          <w:iCs/>
        </w:rPr>
        <w:t>ΔHDP(2021 – i)</w:t>
      </w:r>
      <w:r w:rsidR="008D6D0A">
        <w:rPr>
          <w:i/>
          <w:iCs/>
        </w:rPr>
        <w:t xml:space="preserve"> x </w:t>
      </w:r>
      <w:proofErr w:type="spellStart"/>
      <w:r w:rsidR="008D6D0A">
        <w:rPr>
          <w:i/>
          <w:iCs/>
        </w:rPr>
        <w:t>En</w:t>
      </w:r>
      <w:proofErr w:type="spellEnd"/>
      <w:r w:rsidR="008D6D0A">
        <w:rPr>
          <w:i/>
          <w:iCs/>
        </w:rPr>
        <w:t>]</w:t>
      </w:r>
      <w:r w:rsidR="00606FC3">
        <w:rPr>
          <w:i/>
          <w:iCs/>
        </w:rPr>
        <w:t xml:space="preserve"> x KFD</w:t>
      </w:r>
    </w:p>
    <w:p w14:paraId="2B49EB17" w14:textId="1E1B5A01" w:rsidR="00866F4D" w:rsidRPr="006523FF" w:rsidRDefault="00606FC3" w:rsidP="008D6D0A">
      <w:pPr>
        <w:pStyle w:val="Poznmka"/>
        <w:tabs>
          <w:tab w:val="left" w:pos="851"/>
          <w:tab w:val="left" w:pos="2268"/>
        </w:tabs>
      </w:pPr>
      <w:r>
        <w:t xml:space="preserve">kde: </w:t>
      </w:r>
      <w:r w:rsidR="006523FF">
        <w:tab/>
      </w:r>
      <w:proofErr w:type="spellStart"/>
      <w:r w:rsidRPr="006523FF">
        <w:t>Pn</w:t>
      </w:r>
      <w:proofErr w:type="spellEnd"/>
      <w:r w:rsidRPr="006523FF">
        <w:t xml:space="preserve">(i) </w:t>
      </w:r>
      <w:r w:rsidR="006523FF" w:rsidRPr="006523FF">
        <w:tab/>
      </w:r>
      <w:r w:rsidRPr="006523FF">
        <w:t>je čiastkový prínos v 1. roku hodnotiaceho obdobia</w:t>
      </w:r>
      <w:r w:rsidR="006523FF">
        <w:t>, v cenovej úrovni daného roka</w:t>
      </w:r>
    </w:p>
    <w:p w14:paraId="66BA6370" w14:textId="2D8FECC1" w:rsidR="006523FF" w:rsidRPr="006523FF" w:rsidRDefault="006523FF" w:rsidP="008D6D0A">
      <w:pPr>
        <w:pStyle w:val="Poznmka"/>
        <w:tabs>
          <w:tab w:val="left" w:pos="851"/>
          <w:tab w:val="left" w:pos="2268"/>
        </w:tabs>
      </w:pPr>
      <w:r w:rsidRPr="006523FF">
        <w:tab/>
      </w:r>
      <w:proofErr w:type="spellStart"/>
      <w:r w:rsidRPr="006523FF">
        <w:t>Pn</w:t>
      </w:r>
      <w:proofErr w:type="spellEnd"/>
      <w:r w:rsidRPr="006523FF">
        <w:t xml:space="preserve">(2021) </w:t>
      </w:r>
      <w:r w:rsidRPr="006523FF">
        <w:tab/>
        <w:t>je čiastkový prínos</w:t>
      </w:r>
      <w:r>
        <w:t> vypočítaný podľa jednotkových nákladov v cenovej úrovni 2021</w:t>
      </w:r>
    </w:p>
    <w:p w14:paraId="29E0B5D7" w14:textId="543FF4C0" w:rsidR="006523FF" w:rsidRDefault="006523FF" w:rsidP="008D6D0A">
      <w:pPr>
        <w:pStyle w:val="Poznmka"/>
        <w:tabs>
          <w:tab w:val="left" w:pos="851"/>
          <w:tab w:val="left" w:pos="2268"/>
        </w:tabs>
      </w:pPr>
      <w:r w:rsidRPr="006523FF">
        <w:tab/>
        <w:t>ΔCPI(2021 – i)</w:t>
      </w:r>
      <w:r w:rsidRPr="006523FF">
        <w:tab/>
        <w:t xml:space="preserve">je </w:t>
      </w:r>
      <w:r w:rsidR="007B06C2">
        <w:t>kumulatívna inflácia (%) od r. 2021 po 1. rok hodnotiaceho obdobia</w:t>
      </w:r>
    </w:p>
    <w:p w14:paraId="349D3A13" w14:textId="6BEF9151" w:rsidR="008D6D0A" w:rsidRPr="006523FF" w:rsidRDefault="008D6D0A" w:rsidP="008D6D0A">
      <w:pPr>
        <w:pStyle w:val="Poznmka"/>
        <w:tabs>
          <w:tab w:val="left" w:pos="851"/>
          <w:tab w:val="left" w:pos="2268"/>
        </w:tabs>
      </w:pPr>
      <w:r>
        <w:tab/>
      </w:r>
      <w:r w:rsidRPr="006523FF">
        <w:t>Δ</w:t>
      </w:r>
      <w:r>
        <w:t>HDP</w:t>
      </w:r>
      <w:r w:rsidRPr="006523FF">
        <w:t>(2021 – i)</w:t>
      </w:r>
      <w:r w:rsidRPr="006523FF">
        <w:tab/>
        <w:t xml:space="preserve">je </w:t>
      </w:r>
      <w:r>
        <w:t>kumulatívna zmena HDP (%) od r. 2021 po 1. rok hodnotiaceho obdobia</w:t>
      </w:r>
    </w:p>
    <w:p w14:paraId="05569D4F" w14:textId="5B8F4FD8" w:rsidR="006523FF" w:rsidRPr="006523FF" w:rsidRDefault="006523FF" w:rsidP="008D6D0A">
      <w:pPr>
        <w:pStyle w:val="Poznmka"/>
        <w:tabs>
          <w:tab w:val="left" w:pos="851"/>
          <w:tab w:val="left" w:pos="2268"/>
        </w:tabs>
      </w:pPr>
      <w:r w:rsidRPr="006523FF">
        <w:tab/>
      </w:r>
      <w:proofErr w:type="spellStart"/>
      <w:r w:rsidR="007B06C2">
        <w:t>En</w:t>
      </w:r>
      <w:proofErr w:type="spellEnd"/>
      <w:r w:rsidRPr="006523FF">
        <w:t xml:space="preserve"> </w:t>
      </w:r>
      <w:r w:rsidRPr="006523FF">
        <w:tab/>
        <w:t xml:space="preserve">je </w:t>
      </w:r>
      <w:r w:rsidR="007B06C2">
        <w:t>elasticita príslušného čiastkového prínosu voči HDP</w:t>
      </w:r>
    </w:p>
    <w:p w14:paraId="1850AF39" w14:textId="04A0A194" w:rsidR="006523FF" w:rsidRDefault="006523FF" w:rsidP="008D6D0A">
      <w:pPr>
        <w:pStyle w:val="Poznmka"/>
        <w:tabs>
          <w:tab w:val="left" w:pos="851"/>
          <w:tab w:val="left" w:pos="2268"/>
        </w:tabs>
      </w:pPr>
      <w:r w:rsidRPr="006523FF">
        <w:tab/>
      </w:r>
      <w:r w:rsidR="007B06C2">
        <w:t>KFD</w:t>
      </w:r>
      <w:r w:rsidRPr="006523FF">
        <w:t xml:space="preserve"> </w:t>
      </w:r>
      <w:r w:rsidRPr="006523FF">
        <w:tab/>
        <w:t xml:space="preserve">je </w:t>
      </w:r>
      <w:r w:rsidR="007B06C2">
        <w:t xml:space="preserve">kumulatívny faktor za 20 rokov hodnotiaceho obdobia s uvážením </w:t>
      </w:r>
      <w:proofErr w:type="spellStart"/>
      <w:r w:rsidR="007B06C2">
        <w:t>diskontácie</w:t>
      </w:r>
      <w:proofErr w:type="spellEnd"/>
    </w:p>
    <w:tbl>
      <w:tblPr>
        <w:tblStyle w:val="Mriekatabuky"/>
        <w:tblW w:w="9072" w:type="dxa"/>
        <w:tblLook w:val="04A0" w:firstRow="1" w:lastRow="0" w:firstColumn="1" w:lastColumn="0" w:noHBand="0" w:noVBand="1"/>
      </w:tblPr>
      <w:tblGrid>
        <w:gridCol w:w="4390"/>
        <w:gridCol w:w="1559"/>
        <w:gridCol w:w="3123"/>
      </w:tblGrid>
      <w:tr w:rsidR="00606FC3" w14:paraId="4ECF664B" w14:textId="77777777" w:rsidTr="008D6D0A">
        <w:tc>
          <w:tcPr>
            <w:tcW w:w="4390" w:type="dxa"/>
          </w:tcPr>
          <w:p w14:paraId="6D275712" w14:textId="216B2D31" w:rsidR="00606FC3" w:rsidRDefault="00606FC3" w:rsidP="00EA1376">
            <w:pPr>
              <w:pStyle w:val="Bezriadkovania"/>
            </w:pPr>
            <w:r>
              <w:t>Druh prínosu</w:t>
            </w:r>
          </w:p>
        </w:tc>
        <w:tc>
          <w:tcPr>
            <w:tcW w:w="1559" w:type="dxa"/>
          </w:tcPr>
          <w:p w14:paraId="698764E0" w14:textId="6A9D1B88" w:rsidR="00606FC3" w:rsidRDefault="00606FC3" w:rsidP="00EA1376">
            <w:pPr>
              <w:pStyle w:val="Bezriadkovania"/>
            </w:pPr>
            <w:r>
              <w:t>Elasticita k HDP</w:t>
            </w:r>
          </w:p>
        </w:tc>
        <w:tc>
          <w:tcPr>
            <w:tcW w:w="3123" w:type="dxa"/>
          </w:tcPr>
          <w:p w14:paraId="0A35D8EB" w14:textId="7583EE7D" w:rsidR="00606FC3" w:rsidRDefault="00606FC3" w:rsidP="00EA1376">
            <w:pPr>
              <w:pStyle w:val="Bezriadkovania"/>
            </w:pPr>
            <w:r>
              <w:t>Kumulatívny faktor (diskontovaný)</w:t>
            </w:r>
          </w:p>
        </w:tc>
      </w:tr>
      <w:tr w:rsidR="00606FC3" w14:paraId="6ACFD998" w14:textId="77777777" w:rsidTr="008D6D0A">
        <w:tc>
          <w:tcPr>
            <w:tcW w:w="4390" w:type="dxa"/>
          </w:tcPr>
          <w:p w14:paraId="05942A8F" w14:textId="72BA03F5" w:rsidR="00606FC3" w:rsidRDefault="008D6D0A" w:rsidP="00EA1376">
            <w:pPr>
              <w:pStyle w:val="Bezriadkovania"/>
            </w:pPr>
            <w:r>
              <w:t>Zlepšenie zdravia obyvateľstva vplyvom pohybu</w:t>
            </w:r>
          </w:p>
        </w:tc>
        <w:tc>
          <w:tcPr>
            <w:tcW w:w="1559" w:type="dxa"/>
          </w:tcPr>
          <w:p w14:paraId="22051B2B" w14:textId="772F66B5" w:rsidR="00606FC3" w:rsidRDefault="007D23E8" w:rsidP="00EA1376">
            <w:pPr>
              <w:pStyle w:val="Bezriadkovania"/>
              <w:jc w:val="center"/>
            </w:pPr>
            <w:r>
              <w:t>0,7</w:t>
            </w:r>
          </w:p>
        </w:tc>
        <w:tc>
          <w:tcPr>
            <w:tcW w:w="3123" w:type="dxa"/>
          </w:tcPr>
          <w:p w14:paraId="38F003D5" w14:textId="6E5D05FA" w:rsidR="00606FC3" w:rsidRDefault="007D23E8" w:rsidP="00EA1376">
            <w:pPr>
              <w:pStyle w:val="Bezriadkovania"/>
              <w:jc w:val="center"/>
            </w:pPr>
            <w:r>
              <w:t>14,034</w:t>
            </w:r>
          </w:p>
        </w:tc>
      </w:tr>
      <w:tr w:rsidR="008D138C" w14:paraId="4954D049" w14:textId="77777777" w:rsidTr="008D6D0A">
        <w:tc>
          <w:tcPr>
            <w:tcW w:w="4390" w:type="dxa"/>
          </w:tcPr>
          <w:p w14:paraId="2E849726" w14:textId="4EF3DD86" w:rsidR="008D138C" w:rsidRDefault="008D138C" w:rsidP="00EA1376">
            <w:pPr>
              <w:pStyle w:val="Bezriadkovania"/>
            </w:pPr>
            <w:r>
              <w:t>Čas prepravy (dochádzka do zamestnania)</w:t>
            </w:r>
          </w:p>
        </w:tc>
        <w:tc>
          <w:tcPr>
            <w:tcW w:w="1559" w:type="dxa"/>
          </w:tcPr>
          <w:p w14:paraId="2FA74946" w14:textId="3746B46F" w:rsidR="008D138C" w:rsidRDefault="008D138C" w:rsidP="00EA1376">
            <w:pPr>
              <w:pStyle w:val="Bezriadkovania"/>
              <w:jc w:val="center"/>
            </w:pPr>
            <w:r>
              <w:t>0,5</w:t>
            </w:r>
          </w:p>
        </w:tc>
        <w:tc>
          <w:tcPr>
            <w:tcW w:w="3123" w:type="dxa"/>
          </w:tcPr>
          <w:p w14:paraId="3FB2CC4F" w14:textId="77777777" w:rsidR="008D138C" w:rsidRDefault="008D138C" w:rsidP="00EA1376">
            <w:pPr>
              <w:pStyle w:val="Bezriadkovania"/>
              <w:jc w:val="center"/>
            </w:pPr>
          </w:p>
        </w:tc>
      </w:tr>
      <w:tr w:rsidR="00606FC3" w14:paraId="68EADF24" w14:textId="77777777" w:rsidTr="008D6D0A">
        <w:tc>
          <w:tcPr>
            <w:tcW w:w="4390" w:type="dxa"/>
          </w:tcPr>
          <w:p w14:paraId="42DB868B" w14:textId="5539BDE9" w:rsidR="00606FC3" w:rsidRDefault="008D6D0A" w:rsidP="00EA1376">
            <w:pPr>
              <w:pStyle w:val="Bezriadkovania"/>
            </w:pPr>
            <w:r>
              <w:t>Spotreba a ostatné prevádzkové náklady vozidiel</w:t>
            </w:r>
          </w:p>
        </w:tc>
        <w:tc>
          <w:tcPr>
            <w:tcW w:w="1559" w:type="dxa"/>
          </w:tcPr>
          <w:p w14:paraId="7F043177" w14:textId="33DB3C19" w:rsidR="00606FC3" w:rsidRDefault="008D6D0A" w:rsidP="00EA1376">
            <w:pPr>
              <w:pStyle w:val="Bezriadkovania"/>
              <w:jc w:val="center"/>
            </w:pPr>
            <w:r>
              <w:t>0,0</w:t>
            </w:r>
          </w:p>
        </w:tc>
        <w:tc>
          <w:tcPr>
            <w:tcW w:w="3123" w:type="dxa"/>
          </w:tcPr>
          <w:p w14:paraId="5EEA988A" w14:textId="3345850B" w:rsidR="00606FC3" w:rsidRDefault="002A263A" w:rsidP="00EA1376">
            <w:pPr>
              <w:pStyle w:val="Bezriadkovania"/>
              <w:jc w:val="center"/>
            </w:pPr>
            <w:r>
              <w:t>12,462</w:t>
            </w:r>
          </w:p>
        </w:tc>
      </w:tr>
      <w:tr w:rsidR="00606FC3" w14:paraId="3E15439B" w14:textId="77777777" w:rsidTr="008D6D0A">
        <w:tc>
          <w:tcPr>
            <w:tcW w:w="4390" w:type="dxa"/>
          </w:tcPr>
          <w:p w14:paraId="157F4F55" w14:textId="15D241B9" w:rsidR="00606FC3" w:rsidRDefault="008D6D0A" w:rsidP="00EA1376">
            <w:pPr>
              <w:pStyle w:val="Bezriadkovania"/>
            </w:pPr>
            <w:r>
              <w:t>Emisie znečisťujúcich látok ovzdušia</w:t>
            </w:r>
          </w:p>
        </w:tc>
        <w:tc>
          <w:tcPr>
            <w:tcW w:w="1559" w:type="dxa"/>
          </w:tcPr>
          <w:p w14:paraId="0AFAD7D1" w14:textId="0DFD9ECA" w:rsidR="00606FC3" w:rsidRDefault="008D6D0A" w:rsidP="00EA1376">
            <w:pPr>
              <w:pStyle w:val="Bezriadkovania"/>
              <w:jc w:val="center"/>
            </w:pPr>
            <w:r>
              <w:t>0,7</w:t>
            </w:r>
          </w:p>
        </w:tc>
        <w:tc>
          <w:tcPr>
            <w:tcW w:w="3123" w:type="dxa"/>
          </w:tcPr>
          <w:p w14:paraId="5436317C" w14:textId="05951E96" w:rsidR="00606FC3" w:rsidRDefault="002A263A" w:rsidP="00EA1376">
            <w:pPr>
              <w:pStyle w:val="Bezriadkovania"/>
              <w:jc w:val="center"/>
            </w:pPr>
            <w:r>
              <w:t>14,034</w:t>
            </w:r>
          </w:p>
        </w:tc>
      </w:tr>
      <w:tr w:rsidR="00606FC3" w14:paraId="676E05AB" w14:textId="77777777" w:rsidTr="008D6D0A">
        <w:tc>
          <w:tcPr>
            <w:tcW w:w="4390" w:type="dxa"/>
          </w:tcPr>
          <w:p w14:paraId="50CF57D1" w14:textId="09B6B45F" w:rsidR="00606FC3" w:rsidRDefault="008D6D0A" w:rsidP="00EA1376">
            <w:pPr>
              <w:pStyle w:val="Bezriadkovania"/>
            </w:pPr>
            <w:r>
              <w:t>Emisie skleníkových plynov (klimatická zmena)</w:t>
            </w:r>
          </w:p>
        </w:tc>
        <w:tc>
          <w:tcPr>
            <w:tcW w:w="1559" w:type="dxa"/>
          </w:tcPr>
          <w:p w14:paraId="772E03EA" w14:textId="13940AE4" w:rsidR="00606FC3" w:rsidRDefault="008D6D0A" w:rsidP="00EA1376">
            <w:pPr>
              <w:pStyle w:val="Bezriadkovania"/>
              <w:jc w:val="center"/>
            </w:pPr>
            <w:r>
              <w:t>0,0</w:t>
            </w:r>
          </w:p>
        </w:tc>
        <w:tc>
          <w:tcPr>
            <w:tcW w:w="3123" w:type="dxa"/>
          </w:tcPr>
          <w:p w14:paraId="3B592F07" w14:textId="147827CF" w:rsidR="00606FC3" w:rsidRDefault="002A263A" w:rsidP="00EA1376">
            <w:pPr>
              <w:pStyle w:val="Bezriadkovania"/>
              <w:jc w:val="center"/>
            </w:pPr>
            <w:r>
              <w:t>12,462</w:t>
            </w:r>
          </w:p>
        </w:tc>
      </w:tr>
      <w:tr w:rsidR="00606FC3" w14:paraId="28E121B0" w14:textId="77777777" w:rsidTr="008D6D0A">
        <w:tc>
          <w:tcPr>
            <w:tcW w:w="4390" w:type="dxa"/>
          </w:tcPr>
          <w:p w14:paraId="02DC6111" w14:textId="57F1D74C" w:rsidR="00606FC3" w:rsidRDefault="008D6D0A" w:rsidP="00EA1376">
            <w:pPr>
              <w:pStyle w:val="Bezriadkovania"/>
            </w:pPr>
            <w:r>
              <w:t>Hluk</w:t>
            </w:r>
          </w:p>
        </w:tc>
        <w:tc>
          <w:tcPr>
            <w:tcW w:w="1559" w:type="dxa"/>
          </w:tcPr>
          <w:p w14:paraId="06D10BC6" w14:textId="6070ED23" w:rsidR="00606FC3" w:rsidRDefault="002A263A" w:rsidP="00EA1376">
            <w:pPr>
              <w:pStyle w:val="Bezriadkovania"/>
              <w:jc w:val="center"/>
            </w:pPr>
            <w:r>
              <w:t>0,7</w:t>
            </w:r>
          </w:p>
        </w:tc>
        <w:tc>
          <w:tcPr>
            <w:tcW w:w="3123" w:type="dxa"/>
          </w:tcPr>
          <w:p w14:paraId="1CBD653A" w14:textId="17948B92" w:rsidR="00606FC3" w:rsidRDefault="002A263A" w:rsidP="00EA1376">
            <w:pPr>
              <w:pStyle w:val="Bezriadkovania"/>
              <w:jc w:val="center"/>
            </w:pPr>
            <w:r>
              <w:t>14,034</w:t>
            </w:r>
          </w:p>
        </w:tc>
      </w:tr>
      <w:tr w:rsidR="00606FC3" w14:paraId="036E0E76" w14:textId="77777777" w:rsidTr="008D6D0A">
        <w:tc>
          <w:tcPr>
            <w:tcW w:w="4390" w:type="dxa"/>
          </w:tcPr>
          <w:p w14:paraId="5FD61894" w14:textId="2AFF99E4" w:rsidR="00606FC3" w:rsidRDefault="008D6D0A" w:rsidP="00EA1376">
            <w:pPr>
              <w:pStyle w:val="Bezriadkovania"/>
            </w:pPr>
            <w:r>
              <w:t>Nehodovosť</w:t>
            </w:r>
          </w:p>
        </w:tc>
        <w:tc>
          <w:tcPr>
            <w:tcW w:w="1559" w:type="dxa"/>
          </w:tcPr>
          <w:p w14:paraId="6416C82E" w14:textId="4D65A3B2" w:rsidR="00606FC3" w:rsidRDefault="002A263A" w:rsidP="00EA1376">
            <w:pPr>
              <w:pStyle w:val="Bezriadkovania"/>
              <w:jc w:val="center"/>
            </w:pPr>
            <w:r>
              <w:t>0,7</w:t>
            </w:r>
          </w:p>
        </w:tc>
        <w:tc>
          <w:tcPr>
            <w:tcW w:w="3123" w:type="dxa"/>
          </w:tcPr>
          <w:p w14:paraId="590A83C5" w14:textId="63834DD7" w:rsidR="00606FC3" w:rsidRDefault="002A263A" w:rsidP="00EA1376">
            <w:pPr>
              <w:pStyle w:val="Bezriadkovania"/>
              <w:jc w:val="center"/>
            </w:pPr>
            <w:r>
              <w:t>14,034</w:t>
            </w:r>
          </w:p>
        </w:tc>
      </w:tr>
    </w:tbl>
    <w:p w14:paraId="133D3119" w14:textId="611BC86B" w:rsidR="005B6A72" w:rsidRPr="004D1ED1" w:rsidRDefault="00866F4D" w:rsidP="00DE1BB0">
      <w:r>
        <w:t xml:space="preserve"> </w:t>
      </w:r>
      <w:r w:rsidR="005B6A72" w:rsidRPr="004D1ED1">
        <w:br w:type="page"/>
      </w:r>
    </w:p>
    <w:p w14:paraId="3460279A" w14:textId="67205000" w:rsidR="005B6A72" w:rsidRPr="007235CA" w:rsidRDefault="005B6A72" w:rsidP="007B4858">
      <w:pPr>
        <w:pStyle w:val="Nadpis2"/>
      </w:pPr>
      <w:r w:rsidRPr="007235CA">
        <w:lastRenderedPageBreak/>
        <w:t>Náklady</w:t>
      </w:r>
    </w:p>
    <w:p w14:paraId="707A3915" w14:textId="598FA4D0" w:rsidR="00BC465B" w:rsidRPr="004D1ED1" w:rsidRDefault="00BC465B" w:rsidP="00DE1BB0">
      <w:r w:rsidRPr="004D1ED1">
        <w:t>Do nákladov sa zahŕňajú investície do infraštruktúry a</w:t>
      </w:r>
      <w:r w:rsidR="00551C70">
        <w:t xml:space="preserve"> prevádzkové</w:t>
      </w:r>
      <w:r w:rsidRPr="004D1ED1">
        <w:t xml:space="preserve"> náklady</w:t>
      </w:r>
      <w:r w:rsidR="00551C70">
        <w:t>, ktoré v prípade projektov cyklistickej infraštruktúry predstavujú predovšetkým náklady</w:t>
      </w:r>
      <w:r w:rsidRPr="004D1ED1">
        <w:t xml:space="preserve"> na údržbu</w:t>
      </w:r>
      <w:r w:rsidR="00DA4117">
        <w:t xml:space="preserve"> a čistenie</w:t>
      </w:r>
      <w:r w:rsidR="00551C70">
        <w:t xml:space="preserve"> cyklistických komunikácií, prípadne tiež na osvetlenie či (kamerový</w:t>
      </w:r>
      <w:r w:rsidR="008C58C7">
        <w:t>)</w:t>
      </w:r>
      <w:r w:rsidR="00551C70">
        <w:t xml:space="preserve"> dohľad na zariadenia na odstavovanie </w:t>
      </w:r>
      <w:r w:rsidR="00DA4117">
        <w:t>bicyklov</w:t>
      </w:r>
      <w:r w:rsidRPr="004D1ED1">
        <w:t xml:space="preserve">. </w:t>
      </w:r>
    </w:p>
    <w:p w14:paraId="79BF82AB" w14:textId="77777777" w:rsidR="00340F9F" w:rsidRPr="007235CA" w:rsidRDefault="00340F9F" w:rsidP="007B4858">
      <w:pPr>
        <w:pStyle w:val="Nadpis3"/>
      </w:pPr>
      <w:r w:rsidRPr="007235CA">
        <w:t>Investičné náklady</w:t>
      </w:r>
    </w:p>
    <w:p w14:paraId="36974660" w14:textId="185B830C" w:rsidR="00BC465B" w:rsidRPr="004D1ED1" w:rsidRDefault="00BC465B" w:rsidP="00DE1BB0">
      <w:r w:rsidRPr="004D1ED1">
        <w:t>Investičné náklady na výstavbu cyklistických komunikácií sa pohybujú v rozpätí medzi 100 000 – 1 mil. EUR / km a závisia od nasledovných parametrov:</w:t>
      </w:r>
    </w:p>
    <w:p w14:paraId="0475E77A" w14:textId="759DA901" w:rsidR="00BC465B" w:rsidRPr="004D1ED1" w:rsidRDefault="00BC465B" w:rsidP="00F47BC0">
      <w:pPr>
        <w:pStyle w:val="Odsekzoznamu"/>
      </w:pPr>
      <w:r w:rsidRPr="004D1ED1">
        <w:t>druhu cyklistickej komunikácie (samostatná segregovaná</w:t>
      </w:r>
      <w:r w:rsidR="007235CA">
        <w:t xml:space="preserve"> trasa</w:t>
      </w:r>
      <w:r w:rsidRPr="004D1ED1">
        <w:t xml:space="preserve">, cyklistický pruh, cyklistický pás, viacúčelový pruh, chodník s </w:t>
      </w:r>
      <w:proofErr w:type="spellStart"/>
      <w:r w:rsidRPr="004D1ED1">
        <w:t>cyklodopravným</w:t>
      </w:r>
      <w:proofErr w:type="spellEnd"/>
      <w:r w:rsidRPr="004D1ED1">
        <w:t xml:space="preserve"> značením</w:t>
      </w:r>
      <w:r w:rsidR="007235CA">
        <w:t>, atď.</w:t>
      </w:r>
      <w:r w:rsidRPr="004D1ED1">
        <w:t>)</w:t>
      </w:r>
    </w:p>
    <w:p w14:paraId="6473B008" w14:textId="7CB12A98" w:rsidR="00BC465B" w:rsidRPr="004D1ED1" w:rsidRDefault="00BC465B" w:rsidP="00F47BC0">
      <w:pPr>
        <w:pStyle w:val="Odsekzoznamu"/>
      </w:pPr>
      <w:r w:rsidRPr="004D1ED1">
        <w:t>navrhovaného územia (intravilán, extravilán)</w:t>
      </w:r>
    </w:p>
    <w:p w14:paraId="20BF0FCC" w14:textId="7960FF43" w:rsidR="00BC465B" w:rsidRPr="004D1ED1" w:rsidRDefault="00BC465B" w:rsidP="00F47BC0">
      <w:pPr>
        <w:pStyle w:val="Odsekzoznamu"/>
      </w:pPr>
      <w:r w:rsidRPr="004D1ED1">
        <w:t>terénnymi podmienkami (</w:t>
      </w:r>
      <w:r w:rsidR="007235CA">
        <w:t xml:space="preserve">výkopy a násypy, </w:t>
      </w:r>
      <w:r w:rsidRPr="004D1ED1">
        <w:t>cyklistické mosty, a pod.</w:t>
      </w:r>
      <w:r w:rsidR="007235CA">
        <w:t>)</w:t>
      </w:r>
    </w:p>
    <w:p w14:paraId="1A496824" w14:textId="0ED489E9" w:rsidR="00BC465B" w:rsidRPr="004D1ED1" w:rsidRDefault="00BC465B" w:rsidP="00F47BC0">
      <w:pPr>
        <w:pStyle w:val="Odsekzoznamu"/>
      </w:pPr>
      <w:r w:rsidRPr="004D1ED1">
        <w:t>druh</w:t>
      </w:r>
      <w:r w:rsidR="007235CA">
        <w:t>u</w:t>
      </w:r>
      <w:r w:rsidRPr="004D1ED1">
        <w:t xml:space="preserve"> použit</w:t>
      </w:r>
      <w:r w:rsidR="007235CA">
        <w:t>ých</w:t>
      </w:r>
      <w:r w:rsidRPr="004D1ED1">
        <w:t xml:space="preserve"> materiál</w:t>
      </w:r>
      <w:r w:rsidR="007235CA">
        <w:t>ov</w:t>
      </w:r>
      <w:r w:rsidRPr="004D1ED1">
        <w:t xml:space="preserve"> </w:t>
      </w:r>
    </w:p>
    <w:p w14:paraId="5CCDC792" w14:textId="4088E2BA" w:rsidR="00BC465B" w:rsidRPr="004D1ED1" w:rsidRDefault="00BC465B" w:rsidP="00F47BC0">
      <w:pPr>
        <w:pStyle w:val="Odsekzoznamu"/>
      </w:pPr>
      <w:r w:rsidRPr="004D1ED1">
        <w:t>atď.</w:t>
      </w:r>
    </w:p>
    <w:p w14:paraId="00F1BED6" w14:textId="084416D9" w:rsidR="00221C45" w:rsidRDefault="00221C45" w:rsidP="00DE1BB0">
      <w:r>
        <w:t xml:space="preserve">Z dôvodu jasného rozlíšenia podielu investičných nákladov pre rôzne kategórie výdavkov projektu a najmä </w:t>
      </w:r>
      <w:r w:rsidR="007235CA">
        <w:t>správneho nadväzného stanovenia prevádzkových nákladov a zostatkovej hodnoty je</w:t>
      </w:r>
      <w:r>
        <w:t xml:space="preserve"> odporúčaná </w:t>
      </w:r>
      <w:r w:rsidR="007235CA">
        <w:t xml:space="preserve">nasledovná </w:t>
      </w:r>
      <w:r>
        <w:t>agregovaná štruktúra rozpočtu pre účely CBA:</w:t>
      </w:r>
    </w:p>
    <w:p w14:paraId="5532BBA2" w14:textId="77777777" w:rsidR="00221C45" w:rsidRPr="00221C45" w:rsidRDefault="00221C45" w:rsidP="00E440CE">
      <w:pPr>
        <w:pStyle w:val="Odsekzoznamu"/>
        <w:numPr>
          <w:ilvl w:val="0"/>
          <w:numId w:val="11"/>
        </w:numPr>
      </w:pPr>
      <w:r w:rsidRPr="00221C45">
        <w:t>Projektová dokumentácia</w:t>
      </w:r>
    </w:p>
    <w:p w14:paraId="16550FEB" w14:textId="77777777" w:rsidR="00221C45" w:rsidRPr="00221C45" w:rsidRDefault="00221C45" w:rsidP="00E440CE">
      <w:pPr>
        <w:pStyle w:val="Odsekzoznamu"/>
        <w:numPr>
          <w:ilvl w:val="0"/>
          <w:numId w:val="11"/>
        </w:numPr>
      </w:pPr>
      <w:r w:rsidRPr="00221C45">
        <w:t>Výkupy pozemkov</w:t>
      </w:r>
    </w:p>
    <w:p w14:paraId="5850760C" w14:textId="77777777" w:rsidR="00221C45" w:rsidRPr="00221C45" w:rsidRDefault="00221C45" w:rsidP="00E440CE">
      <w:pPr>
        <w:pStyle w:val="Odsekzoznamu"/>
        <w:numPr>
          <w:ilvl w:val="0"/>
          <w:numId w:val="11"/>
        </w:numPr>
      </w:pPr>
      <w:r w:rsidRPr="00221C45">
        <w:t>Nájmy pozemkov</w:t>
      </w:r>
    </w:p>
    <w:p w14:paraId="21CD95BC" w14:textId="77777777" w:rsidR="00221C45" w:rsidRPr="00221C45" w:rsidRDefault="00221C45" w:rsidP="00E440CE">
      <w:pPr>
        <w:pStyle w:val="Odsekzoznamu"/>
        <w:numPr>
          <w:ilvl w:val="0"/>
          <w:numId w:val="11"/>
        </w:numPr>
      </w:pPr>
      <w:r w:rsidRPr="00221C45">
        <w:t>Príprava staveniska, odstránenie drevín a demolácie</w:t>
      </w:r>
    </w:p>
    <w:p w14:paraId="66F60BEF" w14:textId="77777777" w:rsidR="00221C45" w:rsidRPr="00221C45" w:rsidRDefault="00221C45" w:rsidP="00E440CE">
      <w:pPr>
        <w:pStyle w:val="Odsekzoznamu"/>
        <w:numPr>
          <w:ilvl w:val="0"/>
          <w:numId w:val="11"/>
        </w:numPr>
      </w:pPr>
      <w:r w:rsidRPr="00221C45">
        <w:t>Zemné a iné práce (odstránenie, presun a skládkovanie zemín a odpadov)</w:t>
      </w:r>
    </w:p>
    <w:p w14:paraId="0834CA56" w14:textId="77777777" w:rsidR="00221C45" w:rsidRPr="00221C45" w:rsidRDefault="00221C45" w:rsidP="00E440CE">
      <w:pPr>
        <w:pStyle w:val="Odsekzoznamu"/>
        <w:numPr>
          <w:ilvl w:val="0"/>
          <w:numId w:val="11"/>
        </w:numPr>
      </w:pPr>
      <w:r w:rsidRPr="00221C45">
        <w:t>Výkopy a násypy (trvalé konštrukcie)</w:t>
      </w:r>
    </w:p>
    <w:p w14:paraId="6C42F80B" w14:textId="77777777" w:rsidR="00221C45" w:rsidRPr="00221C45" w:rsidRDefault="00221C45" w:rsidP="00E440CE">
      <w:pPr>
        <w:pStyle w:val="Odsekzoznamu"/>
        <w:numPr>
          <w:ilvl w:val="0"/>
          <w:numId w:val="11"/>
        </w:numPr>
      </w:pPr>
      <w:r w:rsidRPr="00221C45">
        <w:t>Cyklistické komunikácie (vozovky) a iné spevnené plochy (vrátane úprav križovatiek)</w:t>
      </w:r>
    </w:p>
    <w:p w14:paraId="60329DAE" w14:textId="77777777" w:rsidR="00221C45" w:rsidRPr="00221C45" w:rsidRDefault="00221C45" w:rsidP="00E440CE">
      <w:pPr>
        <w:pStyle w:val="Odsekzoznamu"/>
        <w:numPr>
          <w:ilvl w:val="0"/>
          <w:numId w:val="11"/>
        </w:numPr>
      </w:pPr>
      <w:r w:rsidRPr="00221C45">
        <w:t xml:space="preserve">Vybavenie </w:t>
      </w:r>
      <w:proofErr w:type="spellStart"/>
      <w:r w:rsidRPr="00221C45">
        <w:t>cykloinfraštruktúry</w:t>
      </w:r>
      <w:proofErr w:type="spellEnd"/>
      <w:r w:rsidRPr="00221C45">
        <w:t xml:space="preserve"> (</w:t>
      </w:r>
      <w:proofErr w:type="spellStart"/>
      <w:r w:rsidRPr="00221C45">
        <w:t>cyklostojany</w:t>
      </w:r>
      <w:proofErr w:type="spellEnd"/>
      <w:r w:rsidRPr="00221C45">
        <w:t>, prístrešky, mobiliár, dopravné značenie a pod.)</w:t>
      </w:r>
    </w:p>
    <w:p w14:paraId="10D7F468" w14:textId="77777777" w:rsidR="00221C45" w:rsidRPr="00221C45" w:rsidRDefault="00221C45" w:rsidP="00E440CE">
      <w:pPr>
        <w:pStyle w:val="Odsekzoznamu"/>
        <w:numPr>
          <w:ilvl w:val="0"/>
          <w:numId w:val="11"/>
        </w:numPr>
      </w:pPr>
      <w:r w:rsidRPr="00221C45">
        <w:t>Mosty (konštrukcie spodnej a vrchnej stavby mostov)</w:t>
      </w:r>
    </w:p>
    <w:p w14:paraId="47C7E53D" w14:textId="77777777" w:rsidR="00221C45" w:rsidRPr="00221C45" w:rsidRDefault="00221C45" w:rsidP="00E440CE">
      <w:pPr>
        <w:pStyle w:val="Odsekzoznamu"/>
        <w:numPr>
          <w:ilvl w:val="0"/>
          <w:numId w:val="11"/>
        </w:numPr>
      </w:pPr>
      <w:r w:rsidRPr="00221C45">
        <w:t>Oporné a </w:t>
      </w:r>
      <w:proofErr w:type="spellStart"/>
      <w:r w:rsidRPr="00221C45">
        <w:t>zárubné</w:t>
      </w:r>
      <w:proofErr w:type="spellEnd"/>
      <w:r w:rsidRPr="00221C45">
        <w:t xml:space="preserve"> múry, spevnenie svahov</w:t>
      </w:r>
    </w:p>
    <w:p w14:paraId="5AB23C7C" w14:textId="77777777" w:rsidR="00221C45" w:rsidRPr="00221C45" w:rsidRDefault="00221C45" w:rsidP="00E440CE">
      <w:pPr>
        <w:pStyle w:val="Odsekzoznamu"/>
        <w:numPr>
          <w:ilvl w:val="0"/>
          <w:numId w:val="11"/>
        </w:numPr>
      </w:pPr>
      <w:r w:rsidRPr="00221C45">
        <w:t>Ostatné stavebné konštrukcie (odvodnenie, prípojky, svetelné signalizačné zariadenia, atď.)</w:t>
      </w:r>
    </w:p>
    <w:p w14:paraId="02C74D66" w14:textId="77777777" w:rsidR="00221C45" w:rsidRPr="00221C45" w:rsidRDefault="00221C45" w:rsidP="00E440CE">
      <w:pPr>
        <w:pStyle w:val="Odsekzoznamu"/>
        <w:numPr>
          <w:ilvl w:val="0"/>
          <w:numId w:val="11"/>
        </w:numPr>
      </w:pPr>
      <w:r w:rsidRPr="00221C45">
        <w:t>Technológia (</w:t>
      </w:r>
      <w:proofErr w:type="spellStart"/>
      <w:r w:rsidRPr="00221C45">
        <w:t>sčítače</w:t>
      </w:r>
      <w:proofErr w:type="spellEnd"/>
      <w:r w:rsidRPr="00221C45">
        <w:t>, premenlivé značenie, softvér)</w:t>
      </w:r>
    </w:p>
    <w:p w14:paraId="32F0E832" w14:textId="77777777" w:rsidR="00221C45" w:rsidRPr="00221C45" w:rsidRDefault="00221C45" w:rsidP="00E440CE">
      <w:pPr>
        <w:pStyle w:val="Odsekzoznamu"/>
        <w:numPr>
          <w:ilvl w:val="0"/>
          <w:numId w:val="11"/>
        </w:numPr>
      </w:pPr>
      <w:r w:rsidRPr="00221C45">
        <w:t>Vyvolané investície (preložky inžinierskych sietí, náhradná výstavba a pod.)</w:t>
      </w:r>
    </w:p>
    <w:p w14:paraId="0217F426" w14:textId="372D4153" w:rsidR="00340F9F" w:rsidRPr="004D1ED1" w:rsidRDefault="00340F9F" w:rsidP="00DE1BB0">
      <w:r w:rsidRPr="004D1ED1">
        <w:t>Pre účely stanovenia ekonomickej efektívnosti (ekonomickej analýzy) v rámci CBA je všetky náklady potrebné očistiť od zložiek</w:t>
      </w:r>
      <w:r w:rsidR="00573404" w:rsidRPr="004D1ED1">
        <w:t xml:space="preserve">, ktoré nepredstavujú reálne ekonomické náklady spoločnosti ako celku, ale ide iba o transfer medzi rôznymi subjektami národného ekonomického systému (najmä dane, odvody a iné poplatky). Investičné výdavky podľa rozpočtu projektu sa preto upravujú pomocou tzv. fiškálnych korekcii a konverzných faktorov. Fiškálna korekcia zvyčajne predstavuje najmä odpočítanie DPH </w:t>
      </w:r>
      <w:r w:rsidR="00CE0F7B" w:rsidRPr="004D1ED1">
        <w:t>a</w:t>
      </w:r>
      <w:r w:rsidR="00573404" w:rsidRPr="004D1ED1">
        <w:t xml:space="preserve"> Príručka CBA </w:t>
      </w:r>
      <w:r w:rsidR="00CE0F7B" w:rsidRPr="004D1ED1">
        <w:t xml:space="preserve">odporúča </w:t>
      </w:r>
      <w:r w:rsidR="00573404" w:rsidRPr="004D1ED1">
        <w:t xml:space="preserve">použiť </w:t>
      </w:r>
      <w:r w:rsidR="00573404" w:rsidRPr="00551C70">
        <w:rPr>
          <w:b/>
          <w:bCs/>
        </w:rPr>
        <w:t>agregovaný konverzný faktor 0,9</w:t>
      </w:r>
      <w:r w:rsidR="00573404" w:rsidRPr="004D1ED1">
        <w:t>, ktorým sa teda prenásobia investičné náklady</w:t>
      </w:r>
      <w:r w:rsidR="00CE0F7B" w:rsidRPr="004D1ED1">
        <w:t xml:space="preserve"> bez DPH.</w:t>
      </w:r>
    </w:p>
    <w:p w14:paraId="444D84BE" w14:textId="521B48DC" w:rsidR="008D2884" w:rsidRPr="007235CA" w:rsidRDefault="008D2884" w:rsidP="007B4858">
      <w:pPr>
        <w:pStyle w:val="Nadpis3"/>
      </w:pPr>
      <w:r w:rsidRPr="007235CA">
        <w:t>Prevádzkové náklady</w:t>
      </w:r>
    </w:p>
    <w:p w14:paraId="74C6E5C5" w14:textId="72F90A9F" w:rsidR="008D2884" w:rsidRDefault="008D2884" w:rsidP="00DE1BB0">
      <w:r w:rsidRPr="008D2884">
        <w:t xml:space="preserve">Prevádzkové náklady </w:t>
      </w:r>
      <w:r>
        <w:t>na čistenie</w:t>
      </w:r>
      <w:r w:rsidR="008C58C7">
        <w:t>,</w:t>
      </w:r>
      <w:r>
        <w:t xml:space="preserve"> údržbu </w:t>
      </w:r>
      <w:r w:rsidR="008C58C7">
        <w:t xml:space="preserve">a osvetlenie </w:t>
      </w:r>
      <w:r>
        <w:t xml:space="preserve">cyklistických komunikácií sa pohybujú priemerne na úrovni okolo </w:t>
      </w:r>
      <w:r w:rsidRPr="008C58C7">
        <w:rPr>
          <w:b/>
          <w:bCs/>
        </w:rPr>
        <w:t>1800 – 3200 Eur/km</w:t>
      </w:r>
      <w:r>
        <w:t xml:space="preserve">, resp. </w:t>
      </w:r>
      <w:r w:rsidR="008C58C7">
        <w:t xml:space="preserve">(v prípade, že súčasťou projektu je väčší podiel spevnených plôch, napr. odpočívadiel mimo cyklistických pásov) </w:t>
      </w:r>
      <w:r w:rsidRPr="008C58C7">
        <w:rPr>
          <w:b/>
          <w:bCs/>
        </w:rPr>
        <w:t>0,60 – 1,10 €/m2</w:t>
      </w:r>
      <w:r>
        <w:t>.</w:t>
      </w:r>
    </w:p>
    <w:p w14:paraId="57197391" w14:textId="4981FF56" w:rsidR="008C58C7" w:rsidRPr="008D2884" w:rsidRDefault="008C58C7" w:rsidP="00DE1BB0">
      <w:r>
        <w:t>Prevádzkové náklady na iné súčasti cyklistickej infraštruktúry, ako sú najmä mosty a zariadenia na odstavovanie bicyklov sú veľmi závislé od typu konštrukcie a preto je ich potrebné vyčísliť samostatne podľa projektovej dokumentácie, resp. údajov od dodávateľa technológie.</w:t>
      </w:r>
    </w:p>
    <w:p w14:paraId="2817A8AF" w14:textId="6CEA54DF" w:rsidR="007842DF" w:rsidRPr="007235CA" w:rsidRDefault="007842DF" w:rsidP="007B4858">
      <w:pPr>
        <w:pStyle w:val="Nadpis3"/>
      </w:pPr>
      <w:r w:rsidRPr="007235CA">
        <w:lastRenderedPageBreak/>
        <w:t>Zostatková hodnota</w:t>
      </w:r>
    </w:p>
    <w:p w14:paraId="266094D3" w14:textId="1A017455" w:rsidR="00DA4117" w:rsidRDefault="00DA4117" w:rsidP="00DE1BB0">
      <w:r>
        <w:t>Zostatkovú hodnotu investície je možné vypočítať viacerými spôsobmi (viď Príručka CBA), v prípade projektov cyklistickej infraštruktúry však vzhľadom na predpokladané relatívne nízke prínosy</w:t>
      </w:r>
      <w:r w:rsidR="008D2884">
        <w:t xml:space="preserve"> a náklady odporúčame použiť klasickú, tzv. </w:t>
      </w:r>
      <w:r w:rsidR="008D2884" w:rsidRPr="008D2884">
        <w:rPr>
          <w:b/>
          <w:bCs/>
        </w:rPr>
        <w:t>odpisovú metódu</w:t>
      </w:r>
      <w:r w:rsidR="008D2884">
        <w:t xml:space="preserve">. </w:t>
      </w:r>
      <w:r w:rsidR="008D2884" w:rsidRPr="008D2884">
        <w:t xml:space="preserve">Vzorec pre výpočet zostatkovej hodnoty podľa odpisovej metódy </w:t>
      </w:r>
      <w:r w:rsidR="008D2884">
        <w:t>uvažuje s </w:t>
      </w:r>
      <w:r w:rsidR="008D2884" w:rsidRPr="008D2884">
        <w:t>lineárn</w:t>
      </w:r>
      <w:r w:rsidR="008D2884">
        <w:t>ym odpisovaním investície počas celej jej</w:t>
      </w:r>
      <w:r w:rsidR="008D2884" w:rsidRPr="008D2884">
        <w:t xml:space="preserve"> ekonomick</w:t>
      </w:r>
      <w:r w:rsidR="008D2884">
        <w:t>ej životnosti a je</w:t>
      </w:r>
      <w:r w:rsidR="008D2884" w:rsidRPr="008D2884">
        <w:t xml:space="preserve"> nasledovn</w:t>
      </w:r>
      <w:r w:rsidR="008D2884">
        <w:t>om tvare:</w:t>
      </w:r>
    </w:p>
    <w:p w14:paraId="3AB74179" w14:textId="77777777" w:rsidR="008D2884" w:rsidRPr="008D2884" w:rsidRDefault="008D2884" w:rsidP="00DE1BB0">
      <w:pPr>
        <w:rPr>
          <w:b/>
        </w:rPr>
      </w:pPr>
      <m:oMathPara>
        <m:oMath>
          <m:r>
            <m:rPr>
              <m:sty m:val="b"/>
            </m:rPr>
            <w:rPr>
              <w:rFonts w:ascii="Cambria Math" w:hAnsi="Cambria Math"/>
            </w:rPr>
            <m:t>ZH</m:t>
          </m:r>
          <m:r>
            <m:rPr>
              <m:nor/>
            </m:rPr>
            <w:rPr>
              <w:b/>
              <w:vertAlign w:val="subscript"/>
            </w:rPr>
            <m:t>D</m:t>
          </m:r>
          <m:r>
            <m:rPr>
              <m:sty m:val="p"/>
            </m:rPr>
            <w:rPr>
              <w:rFonts w:ascii="Cambria Math" w:hAnsi="Cambria Math"/>
            </w:rPr>
            <m:t xml:space="preserve">=IN* </m:t>
          </m:r>
          <m:f>
            <m:fPr>
              <m:ctrlPr>
                <w:rPr>
                  <w:rFonts w:ascii="Cambria Math" w:hAnsi="Cambria Math"/>
                </w:rPr>
              </m:ctrlPr>
            </m:fPr>
            <m:num>
              <m:d>
                <m:dPr>
                  <m:ctrlPr>
                    <w:rPr>
                      <w:rFonts w:ascii="Cambria Math" w:hAnsi="Cambria Math"/>
                    </w:rPr>
                  </m:ctrlPr>
                </m:dPr>
                <m:e>
                  <m:sSub>
                    <m:sSubPr>
                      <m:ctrlPr>
                        <w:rPr>
                          <w:rFonts w:ascii="Cambria Math" w:hAnsi="Cambria Math"/>
                        </w:rPr>
                      </m:ctrlPr>
                    </m:sSubPr>
                    <m:e>
                      <m:r>
                        <m:rPr>
                          <m:sty m:val="p"/>
                        </m:rPr>
                        <w:rPr>
                          <w:rFonts w:ascii="Cambria Math" w:hAnsi="Cambria Math"/>
                        </w:rPr>
                        <m:t>Ž</m:t>
                      </m:r>
                    </m:e>
                    <m:sub>
                      <m:r>
                        <w:rPr>
                          <w:rFonts w:ascii="Cambria Math" w:hAnsi="Cambria Math"/>
                        </w:rPr>
                        <m:t>0</m:t>
                      </m:r>
                    </m:sub>
                  </m:sSub>
                  <m:r>
                    <m:rPr>
                      <m:sty m:val="p"/>
                    </m:rPr>
                    <w:rPr>
                      <w:rFonts w:ascii="Cambria Math" w:hAnsi="Cambria Math"/>
                    </w:rPr>
                    <m:t>-R</m:t>
                  </m:r>
                </m:e>
              </m:d>
            </m:num>
            <m:den>
              <m:r>
                <m:rPr>
                  <m:sty m:val="p"/>
                </m:rPr>
                <w:rPr>
                  <w:rFonts w:ascii="Cambria Math" w:hAnsi="Cambria Math"/>
                </w:rPr>
                <m:t>Ž</m:t>
              </m:r>
            </m:den>
          </m:f>
        </m:oMath>
      </m:oMathPara>
    </w:p>
    <w:p w14:paraId="2357858B" w14:textId="5271B752" w:rsidR="008D2884" w:rsidRPr="008D317C" w:rsidRDefault="008D2884" w:rsidP="00E53C7A">
      <w:pPr>
        <w:pStyle w:val="Poznmka"/>
        <w:tabs>
          <w:tab w:val="left" w:pos="851"/>
          <w:tab w:val="left" w:pos="2268"/>
        </w:tabs>
      </w:pPr>
      <w:r w:rsidRPr="008D317C">
        <w:t xml:space="preserve">kde: </w:t>
      </w:r>
      <w:r w:rsidRPr="008D317C">
        <w:tab/>
        <w:t>ZH</w:t>
      </w:r>
      <w:r w:rsidRPr="00E53C7A">
        <w:t>D</w:t>
      </w:r>
      <w:r w:rsidRPr="008D317C">
        <w:tab/>
      </w:r>
      <w:r w:rsidR="00606FC3">
        <w:t xml:space="preserve">je </w:t>
      </w:r>
      <w:r w:rsidRPr="008D317C">
        <w:t>zostatková hodnota vypočítaná pomocou ekonomických odpisov</w:t>
      </w:r>
    </w:p>
    <w:p w14:paraId="6FAADD04" w14:textId="378E3744" w:rsidR="008D2884" w:rsidRPr="008D317C" w:rsidRDefault="008D2884" w:rsidP="00E53C7A">
      <w:pPr>
        <w:pStyle w:val="Poznmka"/>
        <w:tabs>
          <w:tab w:val="left" w:pos="851"/>
          <w:tab w:val="left" w:pos="2268"/>
        </w:tabs>
      </w:pPr>
      <w:r w:rsidRPr="008D317C">
        <w:tab/>
        <w:t>IN</w:t>
      </w:r>
      <w:r w:rsidRPr="008D317C">
        <w:tab/>
      </w:r>
      <w:r w:rsidR="00606FC3">
        <w:t xml:space="preserve">sú </w:t>
      </w:r>
      <w:r w:rsidRPr="008D317C">
        <w:t xml:space="preserve">investičné výdavky/počiatočná hodnota </w:t>
      </w:r>
      <w:r>
        <w:t>prvku/</w:t>
      </w:r>
      <w:r w:rsidRPr="008D317C">
        <w:t>objektu</w:t>
      </w:r>
    </w:p>
    <w:p w14:paraId="11D696CE" w14:textId="69A6DFAF" w:rsidR="00606FC3" w:rsidRDefault="00E53C7A" w:rsidP="00E53C7A">
      <w:pPr>
        <w:pStyle w:val="Poznmka"/>
        <w:tabs>
          <w:tab w:val="left" w:pos="851"/>
          <w:tab w:val="left" w:pos="2268"/>
        </w:tabs>
      </w:pPr>
      <w:r>
        <w:tab/>
      </w:r>
      <w:r w:rsidR="008D2884" w:rsidRPr="008D317C">
        <w:t>R</w:t>
      </w:r>
      <w:r w:rsidR="00606FC3">
        <w:t xml:space="preserve">             </w:t>
      </w:r>
      <w:r>
        <w:tab/>
      </w:r>
      <w:r w:rsidR="00606FC3">
        <w:t>je počet rokov</w:t>
      </w:r>
      <w:r w:rsidR="008D2884" w:rsidRPr="008D317C">
        <w:t xml:space="preserve"> používania </w:t>
      </w:r>
      <w:r w:rsidR="008D2884">
        <w:t>prvku/</w:t>
      </w:r>
      <w:r w:rsidR="008D2884" w:rsidRPr="008D317C">
        <w:t xml:space="preserve">objektu na konci </w:t>
      </w:r>
      <w:r w:rsidR="00606FC3">
        <w:t>hodnotiaceho</w:t>
      </w:r>
      <w:r w:rsidR="008D2884" w:rsidRPr="008D317C">
        <w:t xml:space="preserve"> obdobia </w:t>
      </w:r>
    </w:p>
    <w:p w14:paraId="08EDD326" w14:textId="0F16682B" w:rsidR="008D2884" w:rsidRPr="008D317C" w:rsidRDefault="00E53C7A" w:rsidP="00E53C7A">
      <w:pPr>
        <w:pStyle w:val="Poznmka"/>
        <w:tabs>
          <w:tab w:val="left" w:pos="851"/>
          <w:tab w:val="left" w:pos="2268"/>
        </w:tabs>
      </w:pPr>
      <w:r>
        <w:tab/>
        <w:t xml:space="preserve">              </w:t>
      </w:r>
      <w:r>
        <w:tab/>
      </w:r>
      <w:r w:rsidR="008D2884" w:rsidRPr="008D317C">
        <w:t xml:space="preserve">(t. j. </w:t>
      </w:r>
      <w:r w:rsidR="008C58C7" w:rsidRPr="00E53C7A">
        <w:t>2</w:t>
      </w:r>
      <w:r w:rsidR="008D2884" w:rsidRPr="00E53C7A">
        <w:t>0 rokov</w:t>
      </w:r>
      <w:r w:rsidR="008D2884" w:rsidRPr="008D317C">
        <w:t xml:space="preserve"> mínus obdobie výstavby</w:t>
      </w:r>
      <w:r w:rsidR="008D2884">
        <w:t xml:space="preserve"> alebo realizácie investície</w:t>
      </w:r>
      <w:r w:rsidR="008D2884" w:rsidRPr="008D317C">
        <w:t>)</w:t>
      </w:r>
    </w:p>
    <w:p w14:paraId="26CA137A" w14:textId="0161766B" w:rsidR="008D2884" w:rsidRPr="008D317C" w:rsidRDefault="00E53C7A" w:rsidP="00E53C7A">
      <w:pPr>
        <w:pStyle w:val="Poznmka"/>
        <w:tabs>
          <w:tab w:val="left" w:pos="851"/>
          <w:tab w:val="left" w:pos="2268"/>
        </w:tabs>
        <w:ind w:left="2262" w:hanging="1905"/>
      </w:pPr>
      <w:r>
        <w:tab/>
      </w:r>
      <w:r w:rsidR="008D2884" w:rsidRPr="008D317C">
        <w:t>Ž</w:t>
      </w:r>
      <w:r w:rsidR="008D2884" w:rsidRPr="00E53C7A">
        <w:t>0</w:t>
      </w:r>
      <w:r w:rsidR="008D2884" w:rsidRPr="008D317C">
        <w:t xml:space="preserve"> </w:t>
      </w:r>
      <w:r w:rsidR="00606FC3">
        <w:tab/>
      </w:r>
      <w:r>
        <w:tab/>
      </w:r>
      <w:r w:rsidR="00606FC3">
        <w:t xml:space="preserve">je </w:t>
      </w:r>
      <w:r w:rsidR="008D2884" w:rsidRPr="008D317C">
        <w:t xml:space="preserve">životnosť konkrétneho </w:t>
      </w:r>
      <w:r w:rsidR="008D2884">
        <w:t>prvku/</w:t>
      </w:r>
      <w:r w:rsidR="008D2884" w:rsidRPr="008D317C">
        <w:t xml:space="preserve">objektu </w:t>
      </w:r>
      <w:r w:rsidR="008D2884">
        <w:t>investície</w:t>
      </w:r>
      <w:r w:rsidR="00606FC3">
        <w:t>,</w:t>
      </w:r>
      <w:r w:rsidR="008D2884">
        <w:t xml:space="preserve"> </w:t>
      </w:r>
      <w:r w:rsidR="008D2884" w:rsidRPr="008D317C">
        <w:t xml:space="preserve">vrátane výmeny ak je potrebná počas </w:t>
      </w:r>
      <w:r w:rsidR="00606FC3">
        <w:t>hodnotiaceho</w:t>
      </w:r>
      <w:r w:rsidR="008D2884" w:rsidRPr="008D317C">
        <w:t xml:space="preserve"> obdobia projektu</w:t>
      </w:r>
    </w:p>
    <w:p w14:paraId="3159EB6A" w14:textId="0B37E8E4" w:rsidR="008D2884" w:rsidRPr="008D317C" w:rsidRDefault="00E53C7A" w:rsidP="00E53C7A">
      <w:pPr>
        <w:pStyle w:val="Poznmka"/>
        <w:tabs>
          <w:tab w:val="left" w:pos="851"/>
          <w:tab w:val="left" w:pos="2268"/>
        </w:tabs>
      </w:pPr>
      <w:r>
        <w:tab/>
      </w:r>
      <w:r w:rsidR="008D2884" w:rsidRPr="008D317C">
        <w:t>Ž</w:t>
      </w:r>
      <w:r w:rsidR="00606FC3">
        <w:tab/>
        <w:t xml:space="preserve">je </w:t>
      </w:r>
      <w:r w:rsidR="008D2884" w:rsidRPr="008D317C">
        <w:t xml:space="preserve">životnosť konkrétneho </w:t>
      </w:r>
      <w:r w:rsidR="008D2884">
        <w:t>prvku/</w:t>
      </w:r>
      <w:r w:rsidR="008D2884" w:rsidRPr="008D317C">
        <w:t xml:space="preserve">objektu </w:t>
      </w:r>
      <w:r w:rsidR="008D2884">
        <w:t>investície</w:t>
      </w:r>
    </w:p>
    <w:p w14:paraId="01597376" w14:textId="77777777" w:rsidR="00B707C3" w:rsidRDefault="00B707C3" w:rsidP="00DE1BB0"/>
    <w:p w14:paraId="36C20565" w14:textId="1753B528" w:rsidR="00BC465B" w:rsidRPr="004D1ED1" w:rsidRDefault="00BC465B" w:rsidP="00DE1BB0">
      <w:r w:rsidRPr="004D1ED1">
        <w:t xml:space="preserve">Podľa Príručky CBA sa pre novovybudovanú infraštruktúru pre cyklistov sa odporúča použiť </w:t>
      </w:r>
      <w:r w:rsidR="008D2884">
        <w:t xml:space="preserve">ekonomickú </w:t>
      </w:r>
      <w:r w:rsidRPr="004D1ED1">
        <w:t xml:space="preserve">životnosť </w:t>
      </w:r>
      <w:r w:rsidRPr="007D23E8">
        <w:t>20 rokov pre cyklotrasy s asfaltovo-betónovou konštrukciou a 40 rokov</w:t>
      </w:r>
      <w:r w:rsidRPr="004D1ED1">
        <w:t xml:space="preserve"> pre cyklotrasy s cementovo-betónovou konštrukciou.</w:t>
      </w:r>
      <w:r w:rsidR="004633DE">
        <w:t xml:space="preserve"> Ekonomickú životnosť 20 rokov možno uvažovať aj pre iné prvky cyklistickej infraštruktúry, </w:t>
      </w:r>
      <w:proofErr w:type="spellStart"/>
      <w:r w:rsidR="004633DE">
        <w:t>cyklostojany</w:t>
      </w:r>
      <w:proofErr w:type="spellEnd"/>
      <w:r w:rsidR="004633DE">
        <w:t>, prístrešky, mestský mobiliár a pod.</w:t>
      </w:r>
    </w:p>
    <w:p w14:paraId="1B8FB6F1" w14:textId="71ACEBAD" w:rsidR="00221C45" w:rsidRDefault="00DA4117" w:rsidP="00DE1BB0">
      <w:r>
        <w:t xml:space="preserve">V prípade mostov, </w:t>
      </w:r>
      <w:proofErr w:type="spellStart"/>
      <w:r>
        <w:t>zárubných</w:t>
      </w:r>
      <w:proofErr w:type="spellEnd"/>
      <w:r>
        <w:t xml:space="preserve"> múrov a iných špeciálnych konštrukcií, ktoré je potrebné vybudovať v súvislosti s plánovanou cyklotrasou presahuje uvažovaná životnosť 50 rokov. Zostatková hodnota týchto konštrukcií chápaná ako benefit (prínos) po ukončení hodnotiaceho obdobia projektu tak predstavuje významnú protihodnotu zvýšených investičných nákladov.</w:t>
      </w:r>
      <w:r w:rsidR="006432E2">
        <w:t xml:space="preserve"> Z tohto dôvodu je potrebné investičné náklady na výstavbu mostov a iných špeciálnych konštrukcií uvádzať v rozpočte samostatne.</w:t>
      </w:r>
    </w:p>
    <w:p w14:paraId="0065D0E9" w14:textId="5B8E7B64" w:rsidR="003F2676" w:rsidRPr="00551C70" w:rsidRDefault="003F2676" w:rsidP="00B21E15">
      <w:pPr>
        <w:pStyle w:val="Nadpis2"/>
        <w:ind w:left="426"/>
      </w:pPr>
      <w:r>
        <w:t>Ukazovatele ekonomickej analýzy</w:t>
      </w:r>
    </w:p>
    <w:p w14:paraId="31B4CE2B" w14:textId="0E0C5472" w:rsidR="008C58C7" w:rsidRDefault="003F2676" w:rsidP="00DE1BB0">
      <w:r>
        <w:t>Výstupmi ekonomickej analýzy sú tri základné ukazovatele:</w:t>
      </w:r>
    </w:p>
    <w:p w14:paraId="1F63E838" w14:textId="494D6445" w:rsidR="003F2676" w:rsidRPr="003F2676" w:rsidRDefault="003F2676" w:rsidP="00E440CE">
      <w:pPr>
        <w:pStyle w:val="Odsekzoznamu"/>
        <w:numPr>
          <w:ilvl w:val="0"/>
          <w:numId w:val="10"/>
        </w:numPr>
      </w:pPr>
      <w:r>
        <w:t xml:space="preserve">Čistá súčasná hodnota investície (ENPV), </w:t>
      </w:r>
    </w:p>
    <w:p w14:paraId="6D2750DE" w14:textId="77777777" w:rsidR="003F2676" w:rsidRPr="003F2676" w:rsidRDefault="003F2676" w:rsidP="00E440CE">
      <w:pPr>
        <w:pStyle w:val="Odsekzoznamu"/>
        <w:numPr>
          <w:ilvl w:val="0"/>
          <w:numId w:val="10"/>
        </w:numPr>
      </w:pPr>
      <w:r>
        <w:t>Ekonomická miera návratnosti (ERR) a </w:t>
      </w:r>
    </w:p>
    <w:p w14:paraId="262980BF" w14:textId="77777777" w:rsidR="003F2676" w:rsidRPr="003F2676" w:rsidRDefault="003F2676" w:rsidP="00E440CE">
      <w:pPr>
        <w:pStyle w:val="Odsekzoznamu"/>
        <w:numPr>
          <w:ilvl w:val="0"/>
          <w:numId w:val="10"/>
        </w:numPr>
      </w:pPr>
      <w:r>
        <w:t xml:space="preserve">Pomer </w:t>
      </w:r>
      <w:r w:rsidRPr="006D2A14">
        <w:t xml:space="preserve">prínosov a nákladov (B/C). </w:t>
      </w:r>
    </w:p>
    <w:p w14:paraId="2768436A" w14:textId="31BED61C" w:rsidR="003F2676" w:rsidRDefault="003F2676" w:rsidP="00DE1BB0">
      <w:r>
        <w:t xml:space="preserve">Pre výpočet týchto ukazovateľov je </w:t>
      </w:r>
      <w:r w:rsidR="00D66E4A">
        <w:t xml:space="preserve">v zásade </w:t>
      </w:r>
      <w:r>
        <w:t xml:space="preserve">potrebné </w:t>
      </w:r>
      <w:r w:rsidR="00D66E4A">
        <w:t xml:space="preserve">modelovať vývoj prínosov a nákladov v jednotlivých rokoch hodnotiaceho obdobia a </w:t>
      </w:r>
      <w:r>
        <w:t>uvažovať s</w:t>
      </w:r>
      <w:r w:rsidR="00D66E4A">
        <w:t xml:space="preserve"> ich </w:t>
      </w:r>
      <w:r>
        <w:t xml:space="preserve">diskontovanými hodnotami za použitia sociálnej diskontnej sadzby 5%. </w:t>
      </w:r>
    </w:p>
    <w:p w14:paraId="7810A3E9" w14:textId="3FBE95ED" w:rsidR="008F493E" w:rsidRDefault="00D66E4A" w:rsidP="00DE1BB0">
      <w:pPr>
        <w:rPr>
          <w:i/>
        </w:rPr>
      </w:pPr>
      <w:r>
        <w:t>Avšak, p</w:t>
      </w:r>
      <w:r w:rsidR="003F2676">
        <w:t xml:space="preserve">re projekty </w:t>
      </w:r>
      <w:r w:rsidR="004D59F4">
        <w:t xml:space="preserve">cyklistickej infraštruktúry, vzhľadom na ich relatívne krátku dobu výstavby, pri predpoklade viac-menej konštantných tokov prevádzkových nákladov a v prípade, že sa v hodnotiacom období neuvažuje so zmenami v dopyte (zjednodušené metódy modelovania podľa metódy A ani B v tejto metodike toto </w:t>
      </w:r>
      <w:r>
        <w:t xml:space="preserve">nezohľadňujú), tak je možné miesto podrobného modelovania vývoja prínosov a nákladov použiť aj zjednodušený postup pomocou prepočtových faktorov uvedených pre jednotlivé prínosy v kapitole 3.1. V takom prípade sa vypočíta len ukazovateľ B/C </w:t>
      </w:r>
      <w:r w:rsidR="00B93F04">
        <w:t>(</w:t>
      </w:r>
      <w:r w:rsidRPr="00B93F04">
        <w:rPr>
          <w:i/>
        </w:rPr>
        <w:t>Pozn.: Všetky ukazovatele sú vzájomne previazané</w:t>
      </w:r>
      <w:r w:rsidR="00B93F04">
        <w:rPr>
          <w:i/>
        </w:rPr>
        <w:t>, a preto v princípe na hodnotenie postačuje ktorýkoľvek z nich).</w:t>
      </w:r>
    </w:p>
    <w:p w14:paraId="3B633C7C" w14:textId="77777777" w:rsidR="00B21E15" w:rsidRDefault="00B21E15" w:rsidP="00DE1BB0"/>
    <w:p w14:paraId="78BB61AB" w14:textId="77777777" w:rsidR="002853C4" w:rsidRDefault="002853C4">
      <w:pPr>
        <w:spacing w:before="0" w:after="160"/>
        <w:jc w:val="left"/>
      </w:pPr>
    </w:p>
    <w:p w14:paraId="554C4476" w14:textId="30659F4E" w:rsidR="002853C4" w:rsidRPr="007235CA" w:rsidRDefault="002853C4" w:rsidP="002853C4">
      <w:pPr>
        <w:pStyle w:val="Nadpis1"/>
        <w:ind w:left="357" w:hanging="357"/>
      </w:pPr>
      <w:r>
        <w:lastRenderedPageBreak/>
        <w:t>Záverečné ustanovenia</w:t>
      </w:r>
    </w:p>
    <w:p w14:paraId="4712D46C" w14:textId="73F590DE" w:rsidR="00B21E15" w:rsidRDefault="002853C4">
      <w:pPr>
        <w:spacing w:before="0" w:after="160"/>
        <w:jc w:val="left"/>
      </w:pPr>
      <w:r>
        <w:rPr>
          <w:rStyle w:val="fontstyle01"/>
        </w:rPr>
        <w:t xml:space="preserve">MDV SR </w:t>
      </w:r>
      <w:r>
        <w:rPr>
          <w:rStyle w:val="fontstyle01"/>
        </w:rPr>
        <w:t xml:space="preserve">ako vydavateľ tejto metodiky si </w:t>
      </w:r>
      <w:r>
        <w:rPr>
          <w:rStyle w:val="fontstyle01"/>
        </w:rPr>
        <w:t xml:space="preserve">vyhradzuje právo v prípade potreby údaje </w:t>
      </w:r>
      <w:r>
        <w:rPr>
          <w:rStyle w:val="fontstyle01"/>
        </w:rPr>
        <w:t xml:space="preserve">a postupy </w:t>
      </w:r>
      <w:r>
        <w:rPr>
          <w:rStyle w:val="fontstyle01"/>
        </w:rPr>
        <w:t>upraviť</w:t>
      </w:r>
      <w:r>
        <w:rPr>
          <w:rStyle w:val="fontstyle01"/>
        </w:rPr>
        <w:t xml:space="preserve"> </w:t>
      </w:r>
      <w:r w:rsidR="00CC3504">
        <w:rPr>
          <w:rStyle w:val="fontstyle01"/>
        </w:rPr>
        <w:t xml:space="preserve">doplniť alebo aktualizovať, </w:t>
      </w:r>
      <w:r>
        <w:rPr>
          <w:rStyle w:val="fontstyle01"/>
        </w:rPr>
        <w:t xml:space="preserve">na základe </w:t>
      </w:r>
      <w:r w:rsidR="00CC3504">
        <w:rPr>
          <w:rStyle w:val="fontstyle01"/>
        </w:rPr>
        <w:t xml:space="preserve">aktuálnej praxe, problémov a nových skutočností </w:t>
      </w:r>
      <w:r>
        <w:rPr>
          <w:rFonts w:ascii="Calibri" w:hAnsi="Calibri" w:cs="Calibri"/>
          <w:color w:val="000000"/>
        </w:rPr>
        <w:br/>
      </w:r>
      <w:r>
        <w:rPr>
          <w:rStyle w:val="fontstyle01"/>
        </w:rPr>
        <w:t>a to najmä z dôvodu aktualizácie súvisiacej legislatívy, aktualizácie dát a pod. O</w:t>
      </w:r>
      <w:r>
        <w:rPr>
          <w:rFonts w:ascii="Calibri" w:hAnsi="Calibri" w:cs="Calibri"/>
          <w:color w:val="000000"/>
        </w:rPr>
        <w:br/>
      </w:r>
      <w:r>
        <w:rPr>
          <w:rStyle w:val="fontstyle01"/>
        </w:rPr>
        <w:t>aktualizácii príručky bude Riadiaci orgán OPII informovať oprávnených žiadateľov prostredníctvom</w:t>
      </w:r>
      <w:r>
        <w:rPr>
          <w:rFonts w:ascii="Calibri" w:hAnsi="Calibri" w:cs="Calibri"/>
          <w:color w:val="000000"/>
        </w:rPr>
        <w:br/>
      </w:r>
      <w:r>
        <w:rPr>
          <w:rStyle w:val="fontstyle01"/>
        </w:rPr>
        <w:t>elektronickej pošty a zároveň uverejní znenie aktualizovanej príručky na svojom webovom sídle. Za účelom</w:t>
      </w:r>
      <w:r>
        <w:rPr>
          <w:rFonts w:ascii="Calibri" w:hAnsi="Calibri" w:cs="Calibri"/>
          <w:color w:val="000000"/>
        </w:rPr>
        <w:br/>
      </w:r>
      <w:r>
        <w:rPr>
          <w:rStyle w:val="fontstyle01"/>
        </w:rPr>
        <w:t>opravy formálnych chýb/nedostatkov v platnej verzii príručky (napr. nesprávne uvedený odkaz, nefunkčný</w:t>
      </w:r>
      <w:r>
        <w:rPr>
          <w:rFonts w:ascii="Calibri" w:hAnsi="Calibri" w:cs="Calibri"/>
          <w:color w:val="000000"/>
        </w:rPr>
        <w:br/>
      </w:r>
      <w:r>
        <w:rPr>
          <w:rStyle w:val="fontstyle01"/>
        </w:rPr>
        <w:t>hypertextový odkaz, chybné formátovanie/číslovanie, preklepy a pod.), ktoré nemenia postupy uvedené v</w:t>
      </w:r>
      <w:r>
        <w:rPr>
          <w:rFonts w:ascii="Calibri" w:hAnsi="Calibri" w:cs="Calibri"/>
          <w:color w:val="000000"/>
        </w:rPr>
        <w:br/>
      </w:r>
      <w:r>
        <w:rPr>
          <w:rStyle w:val="fontstyle01"/>
        </w:rPr>
        <w:t>príručke, si Riadiaci orgán OPII vyhradzuje právo na ich opravu bez potreby informovať oprávnených</w:t>
      </w:r>
      <w:r>
        <w:rPr>
          <w:rFonts w:ascii="Calibri" w:hAnsi="Calibri" w:cs="Calibri"/>
          <w:color w:val="000000"/>
        </w:rPr>
        <w:br/>
      </w:r>
      <w:r>
        <w:rPr>
          <w:rStyle w:val="fontstyle01"/>
        </w:rPr>
        <w:t>žiadateľov o vykonaných opravách.</w:t>
      </w:r>
      <w:r>
        <w:t xml:space="preserve"> </w:t>
      </w:r>
      <w:r w:rsidR="00B21E15">
        <w:br w:type="page"/>
      </w:r>
    </w:p>
    <w:p w14:paraId="5D877407" w14:textId="691433C4" w:rsidR="00D90299" w:rsidRPr="004D1ED1" w:rsidRDefault="003F5510" w:rsidP="00DE1BB0">
      <w:r w:rsidRPr="004D1ED1">
        <w:lastRenderedPageBreak/>
        <w:t>PRÍLOHA I</w:t>
      </w:r>
    </w:p>
    <w:p w14:paraId="437AE63F" w14:textId="3F6B13EB" w:rsidR="003F5510" w:rsidRPr="004D1ED1" w:rsidRDefault="003F5510" w:rsidP="00DE1BB0">
      <w:r w:rsidRPr="004D1ED1">
        <w:t>Zo zisťovaní mobility</w:t>
      </w:r>
      <w:r w:rsidR="00866099" w:rsidRPr="004D1ED1">
        <w:t xml:space="preserve"> obyvateľstva Slovenska</w:t>
      </w:r>
      <w:r w:rsidRPr="004D1ED1">
        <w:t xml:space="preserve"> vyplýva, že na Slovensku dochádza do zamestnania asi štvrtina zamestnancov menej ako 2km, tretina do 3km, takmer polovica na vzdialenosť menšiu ako 7km, </w:t>
      </w:r>
      <w:r w:rsidR="00C95E93" w:rsidRPr="004D1ED1">
        <w:t xml:space="preserve">dve tretiny do 12km, </w:t>
      </w:r>
      <w:r w:rsidRPr="004D1ED1">
        <w:t>tri štvrtiny do 16km a 90% maximálne do 30km.</w:t>
      </w:r>
    </w:p>
    <w:p w14:paraId="3A5B6DD5" w14:textId="561F1D31" w:rsidR="00866099" w:rsidRPr="004D1ED1" w:rsidRDefault="00866099" w:rsidP="00DE1BB0">
      <w:pPr>
        <w:rPr>
          <w:rStyle w:val="Intenzvnezvraznenie"/>
        </w:rPr>
      </w:pPr>
      <w:r w:rsidRPr="004D1ED1">
        <w:rPr>
          <w:rStyle w:val="Intenzvnezvraznenie"/>
        </w:rPr>
        <w:t>Tab. I.1 distribúcia ciest do zamestnania podľa zisťovania mobility obyvateľov SR</w:t>
      </w:r>
    </w:p>
    <w:tbl>
      <w:tblPr>
        <w:tblStyle w:val="Mriekatabuky"/>
        <w:tblW w:w="9209" w:type="dxa"/>
        <w:tblCellMar>
          <w:left w:w="85" w:type="dxa"/>
          <w:right w:w="85" w:type="dxa"/>
        </w:tblCellMar>
        <w:tblLook w:val="04A0" w:firstRow="1" w:lastRow="0" w:firstColumn="1" w:lastColumn="0" w:noHBand="0" w:noVBand="1"/>
      </w:tblPr>
      <w:tblGrid>
        <w:gridCol w:w="1696"/>
        <w:gridCol w:w="751"/>
        <w:gridCol w:w="751"/>
        <w:gridCol w:w="751"/>
        <w:gridCol w:w="752"/>
        <w:gridCol w:w="751"/>
        <w:gridCol w:w="751"/>
        <w:gridCol w:w="752"/>
        <w:gridCol w:w="751"/>
        <w:gridCol w:w="751"/>
        <w:gridCol w:w="752"/>
      </w:tblGrid>
      <w:tr w:rsidR="00866099" w:rsidRPr="004D1ED1" w14:paraId="5262580F" w14:textId="77777777" w:rsidTr="00866099">
        <w:trPr>
          <w:trHeight w:val="269"/>
        </w:trPr>
        <w:tc>
          <w:tcPr>
            <w:tcW w:w="1696" w:type="dxa"/>
          </w:tcPr>
          <w:p w14:paraId="61D93136" w14:textId="5B86F022" w:rsidR="00866099" w:rsidRPr="004D1ED1" w:rsidRDefault="00866099" w:rsidP="00DE1BB0">
            <w:r w:rsidRPr="004D1ED1">
              <w:t>interval km</w:t>
            </w:r>
          </w:p>
        </w:tc>
        <w:tc>
          <w:tcPr>
            <w:tcW w:w="751" w:type="dxa"/>
          </w:tcPr>
          <w:p w14:paraId="6441D263" w14:textId="10A0A57D" w:rsidR="00866099" w:rsidRPr="004D1ED1" w:rsidRDefault="00866099" w:rsidP="00DE1BB0">
            <w:r w:rsidRPr="004D1ED1">
              <w:t>0-1</w:t>
            </w:r>
          </w:p>
        </w:tc>
        <w:tc>
          <w:tcPr>
            <w:tcW w:w="751" w:type="dxa"/>
          </w:tcPr>
          <w:p w14:paraId="4C30FDC6" w14:textId="0C65A065" w:rsidR="00866099" w:rsidRPr="004D1ED1" w:rsidRDefault="00866099" w:rsidP="00DE1BB0">
            <w:r w:rsidRPr="004D1ED1">
              <w:t>1-2</w:t>
            </w:r>
          </w:p>
        </w:tc>
        <w:tc>
          <w:tcPr>
            <w:tcW w:w="751" w:type="dxa"/>
          </w:tcPr>
          <w:p w14:paraId="0E847EA8" w14:textId="1EFC0DDD" w:rsidR="00866099" w:rsidRPr="004D1ED1" w:rsidRDefault="00866099" w:rsidP="00DE1BB0">
            <w:r w:rsidRPr="004D1ED1">
              <w:t>2-3</w:t>
            </w:r>
          </w:p>
        </w:tc>
        <w:tc>
          <w:tcPr>
            <w:tcW w:w="752" w:type="dxa"/>
          </w:tcPr>
          <w:p w14:paraId="0BFBB1D3" w14:textId="79A9151E" w:rsidR="00866099" w:rsidRPr="004D1ED1" w:rsidRDefault="00866099" w:rsidP="00DE1BB0">
            <w:r w:rsidRPr="004D1ED1">
              <w:t>3-4</w:t>
            </w:r>
          </w:p>
        </w:tc>
        <w:tc>
          <w:tcPr>
            <w:tcW w:w="751" w:type="dxa"/>
          </w:tcPr>
          <w:p w14:paraId="51E1A75F" w14:textId="4AB0CCDE" w:rsidR="00866099" w:rsidRPr="004D1ED1" w:rsidRDefault="00866099" w:rsidP="00DE1BB0">
            <w:r w:rsidRPr="004D1ED1">
              <w:t>4-5</w:t>
            </w:r>
          </w:p>
        </w:tc>
        <w:tc>
          <w:tcPr>
            <w:tcW w:w="751" w:type="dxa"/>
          </w:tcPr>
          <w:p w14:paraId="58DEB86F" w14:textId="35E6E4DF" w:rsidR="00866099" w:rsidRPr="004D1ED1" w:rsidRDefault="00866099" w:rsidP="00DE1BB0">
            <w:r w:rsidRPr="004D1ED1">
              <w:t>5-6</w:t>
            </w:r>
          </w:p>
        </w:tc>
        <w:tc>
          <w:tcPr>
            <w:tcW w:w="752" w:type="dxa"/>
          </w:tcPr>
          <w:p w14:paraId="73565AC1" w14:textId="544C0348" w:rsidR="00866099" w:rsidRPr="004D1ED1" w:rsidRDefault="00866099" w:rsidP="00DE1BB0">
            <w:r w:rsidRPr="004D1ED1">
              <w:t>6-7</w:t>
            </w:r>
          </w:p>
        </w:tc>
        <w:tc>
          <w:tcPr>
            <w:tcW w:w="751" w:type="dxa"/>
          </w:tcPr>
          <w:p w14:paraId="52E4958C" w14:textId="4870CABE" w:rsidR="00866099" w:rsidRPr="004D1ED1" w:rsidRDefault="00866099" w:rsidP="00DE1BB0">
            <w:r w:rsidRPr="004D1ED1">
              <w:t>7-8</w:t>
            </w:r>
          </w:p>
        </w:tc>
        <w:tc>
          <w:tcPr>
            <w:tcW w:w="751" w:type="dxa"/>
          </w:tcPr>
          <w:p w14:paraId="264A0A61" w14:textId="0B3E1963" w:rsidR="00866099" w:rsidRPr="004D1ED1" w:rsidRDefault="00866099" w:rsidP="00DE1BB0">
            <w:r w:rsidRPr="004D1ED1">
              <w:t>8-9</w:t>
            </w:r>
          </w:p>
        </w:tc>
        <w:tc>
          <w:tcPr>
            <w:tcW w:w="752" w:type="dxa"/>
          </w:tcPr>
          <w:p w14:paraId="017D0202" w14:textId="48524E77" w:rsidR="00866099" w:rsidRPr="004D1ED1" w:rsidRDefault="00866099" w:rsidP="00DE1BB0">
            <w:r w:rsidRPr="004D1ED1">
              <w:t>9-10</w:t>
            </w:r>
          </w:p>
        </w:tc>
      </w:tr>
      <w:tr w:rsidR="00866099" w:rsidRPr="004D1ED1" w14:paraId="64F93A55" w14:textId="77777777" w:rsidTr="00866099">
        <w:trPr>
          <w:trHeight w:val="269"/>
        </w:trPr>
        <w:tc>
          <w:tcPr>
            <w:tcW w:w="1696" w:type="dxa"/>
          </w:tcPr>
          <w:p w14:paraId="21D9282E" w14:textId="774B81C6" w:rsidR="00866099" w:rsidRPr="004D1ED1" w:rsidRDefault="00866099" w:rsidP="00DE1BB0">
            <w:r w:rsidRPr="004D1ED1">
              <w:t>podiel %</w:t>
            </w:r>
          </w:p>
        </w:tc>
        <w:tc>
          <w:tcPr>
            <w:tcW w:w="751" w:type="dxa"/>
          </w:tcPr>
          <w:p w14:paraId="22E73E16" w14:textId="38E9772A" w:rsidR="00866099" w:rsidRPr="004D1ED1" w:rsidRDefault="00866099" w:rsidP="00DE1BB0">
            <w:r w:rsidRPr="004D1ED1">
              <w:t>16%</w:t>
            </w:r>
          </w:p>
        </w:tc>
        <w:tc>
          <w:tcPr>
            <w:tcW w:w="751" w:type="dxa"/>
          </w:tcPr>
          <w:p w14:paraId="1C458F83" w14:textId="7DA62214" w:rsidR="00866099" w:rsidRPr="004D1ED1" w:rsidRDefault="00866099" w:rsidP="00DE1BB0">
            <w:r w:rsidRPr="004D1ED1">
              <w:t>10%</w:t>
            </w:r>
          </w:p>
        </w:tc>
        <w:tc>
          <w:tcPr>
            <w:tcW w:w="751" w:type="dxa"/>
          </w:tcPr>
          <w:p w14:paraId="339F4CF0" w14:textId="0CC4DEDE" w:rsidR="00866099" w:rsidRPr="004D1ED1" w:rsidRDefault="00866099" w:rsidP="00DE1BB0">
            <w:r w:rsidRPr="004D1ED1">
              <w:t>7%</w:t>
            </w:r>
          </w:p>
        </w:tc>
        <w:tc>
          <w:tcPr>
            <w:tcW w:w="752" w:type="dxa"/>
          </w:tcPr>
          <w:p w14:paraId="01575D72" w14:textId="7A257B6D" w:rsidR="00866099" w:rsidRPr="004D1ED1" w:rsidRDefault="00866099" w:rsidP="00DE1BB0">
            <w:r w:rsidRPr="004D1ED1">
              <w:t>4%</w:t>
            </w:r>
          </w:p>
        </w:tc>
        <w:tc>
          <w:tcPr>
            <w:tcW w:w="751" w:type="dxa"/>
          </w:tcPr>
          <w:p w14:paraId="0FA8921E" w14:textId="27BC5D80" w:rsidR="00866099" w:rsidRPr="004D1ED1" w:rsidRDefault="00866099" w:rsidP="00DE1BB0">
            <w:r w:rsidRPr="004D1ED1">
              <w:t>7%</w:t>
            </w:r>
          </w:p>
        </w:tc>
        <w:tc>
          <w:tcPr>
            <w:tcW w:w="751" w:type="dxa"/>
          </w:tcPr>
          <w:p w14:paraId="50FA491D" w14:textId="65FEE9FF" w:rsidR="00866099" w:rsidRPr="004D1ED1" w:rsidRDefault="00866099" w:rsidP="00DE1BB0">
            <w:r w:rsidRPr="004D1ED1">
              <w:t>3%</w:t>
            </w:r>
          </w:p>
        </w:tc>
        <w:tc>
          <w:tcPr>
            <w:tcW w:w="752" w:type="dxa"/>
          </w:tcPr>
          <w:p w14:paraId="2CD3B610" w14:textId="51137955" w:rsidR="00866099" w:rsidRPr="004D1ED1" w:rsidRDefault="00866099" w:rsidP="00DE1BB0">
            <w:r w:rsidRPr="004D1ED1">
              <w:t>3%</w:t>
            </w:r>
          </w:p>
        </w:tc>
        <w:tc>
          <w:tcPr>
            <w:tcW w:w="751" w:type="dxa"/>
          </w:tcPr>
          <w:p w14:paraId="50FC61C6" w14:textId="15A7241B" w:rsidR="00866099" w:rsidRPr="004D1ED1" w:rsidRDefault="00866099" w:rsidP="00DE1BB0">
            <w:r w:rsidRPr="004D1ED1">
              <w:t>4%</w:t>
            </w:r>
          </w:p>
        </w:tc>
        <w:tc>
          <w:tcPr>
            <w:tcW w:w="751" w:type="dxa"/>
          </w:tcPr>
          <w:p w14:paraId="7D3FBA39" w14:textId="2E78E7A4" w:rsidR="00866099" w:rsidRPr="004D1ED1" w:rsidRDefault="00866099" w:rsidP="00DE1BB0">
            <w:r w:rsidRPr="004D1ED1">
              <w:t>2%</w:t>
            </w:r>
          </w:p>
        </w:tc>
        <w:tc>
          <w:tcPr>
            <w:tcW w:w="752" w:type="dxa"/>
          </w:tcPr>
          <w:p w14:paraId="10D81FFC" w14:textId="38A48D86" w:rsidR="00866099" w:rsidRPr="004D1ED1" w:rsidRDefault="00866099" w:rsidP="00DE1BB0">
            <w:r w:rsidRPr="004D1ED1">
              <w:t>5%</w:t>
            </w:r>
          </w:p>
        </w:tc>
      </w:tr>
      <w:tr w:rsidR="00866099" w:rsidRPr="004D1ED1" w14:paraId="37D5DC47" w14:textId="77777777" w:rsidTr="00866099">
        <w:trPr>
          <w:trHeight w:val="269"/>
        </w:trPr>
        <w:tc>
          <w:tcPr>
            <w:tcW w:w="1696" w:type="dxa"/>
          </w:tcPr>
          <w:p w14:paraId="01F52235" w14:textId="6D2046DF" w:rsidR="00866099" w:rsidRPr="004D1ED1" w:rsidRDefault="00866099" w:rsidP="00DE1BB0">
            <w:r w:rsidRPr="004D1ED1">
              <w:t>kumulatívne %</w:t>
            </w:r>
          </w:p>
        </w:tc>
        <w:tc>
          <w:tcPr>
            <w:tcW w:w="751" w:type="dxa"/>
          </w:tcPr>
          <w:p w14:paraId="342DF225" w14:textId="652E3664" w:rsidR="00866099" w:rsidRPr="004D1ED1" w:rsidRDefault="00866099" w:rsidP="00DE1BB0">
            <w:r w:rsidRPr="004D1ED1">
              <w:t>16%</w:t>
            </w:r>
          </w:p>
        </w:tc>
        <w:tc>
          <w:tcPr>
            <w:tcW w:w="751" w:type="dxa"/>
          </w:tcPr>
          <w:p w14:paraId="61AF3355" w14:textId="45E3A6D3" w:rsidR="00866099" w:rsidRPr="004D1ED1" w:rsidRDefault="00866099" w:rsidP="00DE1BB0">
            <w:r w:rsidRPr="004D1ED1">
              <w:t>26%</w:t>
            </w:r>
          </w:p>
        </w:tc>
        <w:tc>
          <w:tcPr>
            <w:tcW w:w="751" w:type="dxa"/>
          </w:tcPr>
          <w:p w14:paraId="19513613" w14:textId="5B9B48D7" w:rsidR="00866099" w:rsidRPr="004D1ED1" w:rsidRDefault="00866099" w:rsidP="00DE1BB0">
            <w:r w:rsidRPr="004D1ED1">
              <w:t>32%</w:t>
            </w:r>
          </w:p>
        </w:tc>
        <w:tc>
          <w:tcPr>
            <w:tcW w:w="752" w:type="dxa"/>
          </w:tcPr>
          <w:p w14:paraId="5B94237C" w14:textId="3F17E9E8" w:rsidR="00866099" w:rsidRPr="004D1ED1" w:rsidRDefault="00866099" w:rsidP="00DE1BB0">
            <w:r w:rsidRPr="004D1ED1">
              <w:t>36%</w:t>
            </w:r>
          </w:p>
        </w:tc>
        <w:tc>
          <w:tcPr>
            <w:tcW w:w="751" w:type="dxa"/>
          </w:tcPr>
          <w:p w14:paraId="5D2228CF" w14:textId="3CCAA0D8" w:rsidR="00866099" w:rsidRPr="004D1ED1" w:rsidRDefault="00866099" w:rsidP="00DE1BB0">
            <w:r w:rsidRPr="004D1ED1">
              <w:t>43%</w:t>
            </w:r>
          </w:p>
        </w:tc>
        <w:tc>
          <w:tcPr>
            <w:tcW w:w="751" w:type="dxa"/>
          </w:tcPr>
          <w:p w14:paraId="02846219" w14:textId="2DC4229A" w:rsidR="00866099" w:rsidRPr="004D1ED1" w:rsidRDefault="00866099" w:rsidP="00DE1BB0">
            <w:r w:rsidRPr="004D1ED1">
              <w:t>46%</w:t>
            </w:r>
          </w:p>
        </w:tc>
        <w:tc>
          <w:tcPr>
            <w:tcW w:w="752" w:type="dxa"/>
          </w:tcPr>
          <w:p w14:paraId="2BB404D7" w14:textId="50A50060" w:rsidR="00866099" w:rsidRPr="004D1ED1" w:rsidRDefault="00866099" w:rsidP="00DE1BB0">
            <w:r w:rsidRPr="004D1ED1">
              <w:t>49%</w:t>
            </w:r>
          </w:p>
        </w:tc>
        <w:tc>
          <w:tcPr>
            <w:tcW w:w="751" w:type="dxa"/>
          </w:tcPr>
          <w:p w14:paraId="342A88F2" w14:textId="38ACE4CD" w:rsidR="00866099" w:rsidRPr="004D1ED1" w:rsidRDefault="00866099" w:rsidP="00DE1BB0">
            <w:r w:rsidRPr="004D1ED1">
              <w:t>54%</w:t>
            </w:r>
          </w:p>
        </w:tc>
        <w:tc>
          <w:tcPr>
            <w:tcW w:w="751" w:type="dxa"/>
          </w:tcPr>
          <w:p w14:paraId="5ED4786A" w14:textId="3D3DC32E" w:rsidR="00866099" w:rsidRPr="004D1ED1" w:rsidRDefault="00866099" w:rsidP="00DE1BB0">
            <w:r w:rsidRPr="004D1ED1">
              <w:t>55%</w:t>
            </w:r>
          </w:p>
        </w:tc>
        <w:tc>
          <w:tcPr>
            <w:tcW w:w="752" w:type="dxa"/>
          </w:tcPr>
          <w:p w14:paraId="181C65CF" w14:textId="7CBD9C09" w:rsidR="00866099" w:rsidRPr="004D1ED1" w:rsidRDefault="00866099" w:rsidP="00DE1BB0">
            <w:r w:rsidRPr="004D1ED1">
              <w:t>60%</w:t>
            </w:r>
          </w:p>
        </w:tc>
      </w:tr>
      <w:tr w:rsidR="00866099" w:rsidRPr="004D1ED1" w14:paraId="66713AB1" w14:textId="77777777" w:rsidTr="00866099">
        <w:trPr>
          <w:trHeight w:val="85"/>
        </w:trPr>
        <w:tc>
          <w:tcPr>
            <w:tcW w:w="1696" w:type="dxa"/>
          </w:tcPr>
          <w:p w14:paraId="483FAC77" w14:textId="77777777" w:rsidR="00866099" w:rsidRPr="004D1ED1" w:rsidRDefault="00866099" w:rsidP="00DE1BB0"/>
        </w:tc>
        <w:tc>
          <w:tcPr>
            <w:tcW w:w="751" w:type="dxa"/>
          </w:tcPr>
          <w:p w14:paraId="4DC8260C" w14:textId="77777777" w:rsidR="00866099" w:rsidRPr="004D1ED1" w:rsidRDefault="00866099" w:rsidP="00DE1BB0"/>
        </w:tc>
        <w:tc>
          <w:tcPr>
            <w:tcW w:w="751" w:type="dxa"/>
          </w:tcPr>
          <w:p w14:paraId="12688BE1" w14:textId="77777777" w:rsidR="00866099" w:rsidRPr="004D1ED1" w:rsidRDefault="00866099" w:rsidP="00DE1BB0"/>
        </w:tc>
        <w:tc>
          <w:tcPr>
            <w:tcW w:w="751" w:type="dxa"/>
          </w:tcPr>
          <w:p w14:paraId="4FCAF155" w14:textId="77777777" w:rsidR="00866099" w:rsidRPr="004D1ED1" w:rsidRDefault="00866099" w:rsidP="00DE1BB0"/>
        </w:tc>
        <w:tc>
          <w:tcPr>
            <w:tcW w:w="752" w:type="dxa"/>
          </w:tcPr>
          <w:p w14:paraId="3799255E" w14:textId="77777777" w:rsidR="00866099" w:rsidRPr="004D1ED1" w:rsidRDefault="00866099" w:rsidP="00DE1BB0"/>
        </w:tc>
        <w:tc>
          <w:tcPr>
            <w:tcW w:w="751" w:type="dxa"/>
          </w:tcPr>
          <w:p w14:paraId="093B58AD" w14:textId="77777777" w:rsidR="00866099" w:rsidRPr="004D1ED1" w:rsidRDefault="00866099" w:rsidP="00DE1BB0"/>
        </w:tc>
        <w:tc>
          <w:tcPr>
            <w:tcW w:w="751" w:type="dxa"/>
          </w:tcPr>
          <w:p w14:paraId="44C589F0" w14:textId="77777777" w:rsidR="00866099" w:rsidRPr="004D1ED1" w:rsidRDefault="00866099" w:rsidP="00DE1BB0"/>
        </w:tc>
        <w:tc>
          <w:tcPr>
            <w:tcW w:w="752" w:type="dxa"/>
          </w:tcPr>
          <w:p w14:paraId="694992A7" w14:textId="77777777" w:rsidR="00866099" w:rsidRPr="004D1ED1" w:rsidRDefault="00866099" w:rsidP="00DE1BB0"/>
        </w:tc>
        <w:tc>
          <w:tcPr>
            <w:tcW w:w="751" w:type="dxa"/>
          </w:tcPr>
          <w:p w14:paraId="468C0209" w14:textId="77777777" w:rsidR="00866099" w:rsidRPr="004D1ED1" w:rsidRDefault="00866099" w:rsidP="00DE1BB0"/>
        </w:tc>
        <w:tc>
          <w:tcPr>
            <w:tcW w:w="751" w:type="dxa"/>
          </w:tcPr>
          <w:p w14:paraId="0436E64B" w14:textId="77777777" w:rsidR="00866099" w:rsidRPr="004D1ED1" w:rsidRDefault="00866099" w:rsidP="00DE1BB0"/>
        </w:tc>
        <w:tc>
          <w:tcPr>
            <w:tcW w:w="752" w:type="dxa"/>
          </w:tcPr>
          <w:p w14:paraId="492D889D" w14:textId="77777777" w:rsidR="00866099" w:rsidRPr="004D1ED1" w:rsidRDefault="00866099" w:rsidP="00DE1BB0"/>
        </w:tc>
      </w:tr>
      <w:tr w:rsidR="00866099" w:rsidRPr="004D1ED1" w14:paraId="31A7D26E" w14:textId="77777777" w:rsidTr="00866099">
        <w:trPr>
          <w:trHeight w:val="269"/>
        </w:trPr>
        <w:tc>
          <w:tcPr>
            <w:tcW w:w="1696" w:type="dxa"/>
          </w:tcPr>
          <w:p w14:paraId="20E5980E" w14:textId="260C4A75" w:rsidR="00866099" w:rsidRPr="004D1ED1" w:rsidRDefault="00866099" w:rsidP="00DE1BB0">
            <w:r w:rsidRPr="004D1ED1">
              <w:t>interval km</w:t>
            </w:r>
          </w:p>
        </w:tc>
        <w:tc>
          <w:tcPr>
            <w:tcW w:w="751" w:type="dxa"/>
          </w:tcPr>
          <w:p w14:paraId="23071F50" w14:textId="6CB0B5DD" w:rsidR="00866099" w:rsidRPr="004D1ED1" w:rsidRDefault="00866099" w:rsidP="00DE1BB0">
            <w:r w:rsidRPr="004D1ED1">
              <w:t>10-12</w:t>
            </w:r>
          </w:p>
        </w:tc>
        <w:tc>
          <w:tcPr>
            <w:tcW w:w="751" w:type="dxa"/>
          </w:tcPr>
          <w:p w14:paraId="63490BD0" w14:textId="119369DC" w:rsidR="00866099" w:rsidRPr="004D1ED1" w:rsidRDefault="00866099" w:rsidP="00DE1BB0">
            <w:r w:rsidRPr="004D1ED1">
              <w:t>12-14</w:t>
            </w:r>
          </w:p>
        </w:tc>
        <w:tc>
          <w:tcPr>
            <w:tcW w:w="751" w:type="dxa"/>
          </w:tcPr>
          <w:p w14:paraId="04571CE8" w14:textId="5F50D02C" w:rsidR="00866099" w:rsidRPr="004D1ED1" w:rsidRDefault="00866099" w:rsidP="00DE1BB0">
            <w:r w:rsidRPr="004D1ED1">
              <w:t>14-16</w:t>
            </w:r>
          </w:p>
        </w:tc>
        <w:tc>
          <w:tcPr>
            <w:tcW w:w="752" w:type="dxa"/>
          </w:tcPr>
          <w:p w14:paraId="1CFCAACD" w14:textId="3A4F0B1D" w:rsidR="00866099" w:rsidRPr="004D1ED1" w:rsidRDefault="00866099" w:rsidP="00DE1BB0">
            <w:r w:rsidRPr="004D1ED1">
              <w:t>16-18</w:t>
            </w:r>
          </w:p>
        </w:tc>
        <w:tc>
          <w:tcPr>
            <w:tcW w:w="751" w:type="dxa"/>
          </w:tcPr>
          <w:p w14:paraId="24314EFE" w14:textId="056A3D4B" w:rsidR="00866099" w:rsidRPr="004D1ED1" w:rsidRDefault="00866099" w:rsidP="00DE1BB0">
            <w:r w:rsidRPr="004D1ED1">
              <w:t>18-20</w:t>
            </w:r>
          </w:p>
        </w:tc>
        <w:tc>
          <w:tcPr>
            <w:tcW w:w="751" w:type="dxa"/>
          </w:tcPr>
          <w:p w14:paraId="12B03BEB" w14:textId="57BE0CFC" w:rsidR="00866099" w:rsidRPr="004D1ED1" w:rsidRDefault="00866099" w:rsidP="00DE1BB0">
            <w:r w:rsidRPr="004D1ED1">
              <w:t>20-25</w:t>
            </w:r>
          </w:p>
        </w:tc>
        <w:tc>
          <w:tcPr>
            <w:tcW w:w="752" w:type="dxa"/>
          </w:tcPr>
          <w:p w14:paraId="0DF77174" w14:textId="3104F5DE" w:rsidR="00866099" w:rsidRPr="004D1ED1" w:rsidRDefault="00866099" w:rsidP="00DE1BB0">
            <w:r w:rsidRPr="004D1ED1">
              <w:t>25-30</w:t>
            </w:r>
          </w:p>
        </w:tc>
        <w:tc>
          <w:tcPr>
            <w:tcW w:w="751" w:type="dxa"/>
          </w:tcPr>
          <w:p w14:paraId="68C822C4" w14:textId="6775E456" w:rsidR="00866099" w:rsidRPr="004D1ED1" w:rsidRDefault="00866099" w:rsidP="00DE1BB0">
            <w:r w:rsidRPr="004D1ED1">
              <w:t>30-45</w:t>
            </w:r>
          </w:p>
        </w:tc>
        <w:tc>
          <w:tcPr>
            <w:tcW w:w="751" w:type="dxa"/>
          </w:tcPr>
          <w:p w14:paraId="60EA98CF" w14:textId="1EB731E8" w:rsidR="00866099" w:rsidRPr="004D1ED1" w:rsidRDefault="00866099" w:rsidP="00DE1BB0">
            <w:r w:rsidRPr="004D1ED1">
              <w:t>45-90</w:t>
            </w:r>
          </w:p>
        </w:tc>
        <w:tc>
          <w:tcPr>
            <w:tcW w:w="752" w:type="dxa"/>
          </w:tcPr>
          <w:p w14:paraId="22F534B6" w14:textId="04039029" w:rsidR="00866099" w:rsidRPr="004D1ED1" w:rsidRDefault="00866099" w:rsidP="00DE1BB0">
            <w:r w:rsidRPr="004D1ED1">
              <w:t>90+</w:t>
            </w:r>
          </w:p>
        </w:tc>
      </w:tr>
      <w:tr w:rsidR="00866099" w:rsidRPr="004D1ED1" w14:paraId="601D4943" w14:textId="77777777" w:rsidTr="00866099">
        <w:trPr>
          <w:trHeight w:val="269"/>
        </w:trPr>
        <w:tc>
          <w:tcPr>
            <w:tcW w:w="1696" w:type="dxa"/>
          </w:tcPr>
          <w:p w14:paraId="0E408F18" w14:textId="135ABCAC" w:rsidR="00866099" w:rsidRPr="004D1ED1" w:rsidRDefault="00866099" w:rsidP="00DE1BB0">
            <w:r w:rsidRPr="004D1ED1">
              <w:t>podiel %</w:t>
            </w:r>
          </w:p>
        </w:tc>
        <w:tc>
          <w:tcPr>
            <w:tcW w:w="751" w:type="dxa"/>
          </w:tcPr>
          <w:p w14:paraId="5DBE49FC" w14:textId="28B3E72E" w:rsidR="00866099" w:rsidRPr="004D1ED1" w:rsidRDefault="00866099" w:rsidP="00DE1BB0">
            <w:r w:rsidRPr="004D1ED1">
              <w:t>5%</w:t>
            </w:r>
          </w:p>
        </w:tc>
        <w:tc>
          <w:tcPr>
            <w:tcW w:w="751" w:type="dxa"/>
          </w:tcPr>
          <w:p w14:paraId="68292036" w14:textId="64FEBD6F" w:rsidR="00866099" w:rsidRPr="004D1ED1" w:rsidRDefault="00866099" w:rsidP="00DE1BB0">
            <w:r w:rsidRPr="004D1ED1">
              <w:t>4%</w:t>
            </w:r>
          </w:p>
        </w:tc>
        <w:tc>
          <w:tcPr>
            <w:tcW w:w="751" w:type="dxa"/>
          </w:tcPr>
          <w:p w14:paraId="0CC5A564" w14:textId="552F099D" w:rsidR="00866099" w:rsidRPr="004D1ED1" w:rsidRDefault="00866099" w:rsidP="00DE1BB0">
            <w:r w:rsidRPr="004D1ED1">
              <w:t>5%</w:t>
            </w:r>
          </w:p>
        </w:tc>
        <w:tc>
          <w:tcPr>
            <w:tcW w:w="752" w:type="dxa"/>
          </w:tcPr>
          <w:p w14:paraId="1566A4C7" w14:textId="138025B4" w:rsidR="00866099" w:rsidRPr="004D1ED1" w:rsidRDefault="00866099" w:rsidP="00DE1BB0">
            <w:r w:rsidRPr="004D1ED1">
              <w:t>4%</w:t>
            </w:r>
          </w:p>
        </w:tc>
        <w:tc>
          <w:tcPr>
            <w:tcW w:w="751" w:type="dxa"/>
          </w:tcPr>
          <w:p w14:paraId="1DCC29A8" w14:textId="1B952D54" w:rsidR="00866099" w:rsidRPr="004D1ED1" w:rsidRDefault="00866099" w:rsidP="00DE1BB0">
            <w:r w:rsidRPr="004D1ED1">
              <w:t>4%</w:t>
            </w:r>
          </w:p>
        </w:tc>
        <w:tc>
          <w:tcPr>
            <w:tcW w:w="751" w:type="dxa"/>
          </w:tcPr>
          <w:p w14:paraId="3C66D0D2" w14:textId="63CD8C62" w:rsidR="00866099" w:rsidRPr="004D1ED1" w:rsidRDefault="00866099" w:rsidP="00DE1BB0">
            <w:r w:rsidRPr="004D1ED1">
              <w:t>4%</w:t>
            </w:r>
          </w:p>
        </w:tc>
        <w:tc>
          <w:tcPr>
            <w:tcW w:w="752" w:type="dxa"/>
          </w:tcPr>
          <w:p w14:paraId="4F65EA5F" w14:textId="6D628E57" w:rsidR="00866099" w:rsidRPr="004D1ED1" w:rsidRDefault="00866099" w:rsidP="00DE1BB0">
            <w:r w:rsidRPr="004D1ED1">
              <w:t>4%</w:t>
            </w:r>
          </w:p>
        </w:tc>
        <w:tc>
          <w:tcPr>
            <w:tcW w:w="751" w:type="dxa"/>
          </w:tcPr>
          <w:p w14:paraId="13DD0F70" w14:textId="58A08746" w:rsidR="00866099" w:rsidRPr="004D1ED1" w:rsidRDefault="00866099" w:rsidP="00DE1BB0">
            <w:r w:rsidRPr="004D1ED1">
              <w:t>5%</w:t>
            </w:r>
          </w:p>
        </w:tc>
        <w:tc>
          <w:tcPr>
            <w:tcW w:w="751" w:type="dxa"/>
          </w:tcPr>
          <w:p w14:paraId="22A5F5C2" w14:textId="1646762F" w:rsidR="00866099" w:rsidRPr="004D1ED1" w:rsidRDefault="00866099" w:rsidP="00DE1BB0">
            <w:r w:rsidRPr="004D1ED1">
              <w:t>4%</w:t>
            </w:r>
          </w:p>
        </w:tc>
        <w:tc>
          <w:tcPr>
            <w:tcW w:w="752" w:type="dxa"/>
          </w:tcPr>
          <w:p w14:paraId="53D1E48C" w14:textId="42E48F93" w:rsidR="00866099" w:rsidRPr="004D1ED1" w:rsidRDefault="00866099" w:rsidP="00DE1BB0">
            <w:r w:rsidRPr="004D1ED1">
              <w:t>1%</w:t>
            </w:r>
          </w:p>
        </w:tc>
      </w:tr>
      <w:tr w:rsidR="00866099" w:rsidRPr="004D1ED1" w14:paraId="64E4EC50" w14:textId="77777777" w:rsidTr="00866099">
        <w:trPr>
          <w:trHeight w:val="269"/>
        </w:trPr>
        <w:tc>
          <w:tcPr>
            <w:tcW w:w="1696" w:type="dxa"/>
          </w:tcPr>
          <w:p w14:paraId="19283CDB" w14:textId="178EAAB3" w:rsidR="00866099" w:rsidRPr="004D1ED1" w:rsidRDefault="00866099" w:rsidP="00DE1BB0">
            <w:r w:rsidRPr="004D1ED1">
              <w:t>kumulatívne %</w:t>
            </w:r>
          </w:p>
        </w:tc>
        <w:tc>
          <w:tcPr>
            <w:tcW w:w="751" w:type="dxa"/>
          </w:tcPr>
          <w:p w14:paraId="37B35EE6" w14:textId="7B39E6D6" w:rsidR="00866099" w:rsidRPr="004D1ED1" w:rsidRDefault="00866099" w:rsidP="00DE1BB0">
            <w:r w:rsidRPr="004D1ED1">
              <w:t>66%</w:t>
            </w:r>
          </w:p>
        </w:tc>
        <w:tc>
          <w:tcPr>
            <w:tcW w:w="751" w:type="dxa"/>
          </w:tcPr>
          <w:p w14:paraId="774C6003" w14:textId="34706D9E" w:rsidR="00866099" w:rsidRPr="004D1ED1" w:rsidRDefault="00866099" w:rsidP="00DE1BB0">
            <w:r w:rsidRPr="004D1ED1">
              <w:t>70%</w:t>
            </w:r>
          </w:p>
        </w:tc>
        <w:tc>
          <w:tcPr>
            <w:tcW w:w="751" w:type="dxa"/>
          </w:tcPr>
          <w:p w14:paraId="480C57B6" w14:textId="61641C78" w:rsidR="00866099" w:rsidRPr="004D1ED1" w:rsidRDefault="00866099" w:rsidP="00DE1BB0">
            <w:r w:rsidRPr="004D1ED1">
              <w:t>75%</w:t>
            </w:r>
          </w:p>
        </w:tc>
        <w:tc>
          <w:tcPr>
            <w:tcW w:w="752" w:type="dxa"/>
          </w:tcPr>
          <w:p w14:paraId="1C8DCE71" w14:textId="29515C81" w:rsidR="00866099" w:rsidRPr="004D1ED1" w:rsidRDefault="00866099" w:rsidP="00DE1BB0">
            <w:r w:rsidRPr="004D1ED1">
              <w:t>78%</w:t>
            </w:r>
          </w:p>
        </w:tc>
        <w:tc>
          <w:tcPr>
            <w:tcW w:w="751" w:type="dxa"/>
          </w:tcPr>
          <w:p w14:paraId="0735790E" w14:textId="6C56E97B" w:rsidR="00866099" w:rsidRPr="004D1ED1" w:rsidRDefault="00866099" w:rsidP="00DE1BB0">
            <w:r w:rsidRPr="004D1ED1">
              <w:t>82%</w:t>
            </w:r>
          </w:p>
        </w:tc>
        <w:tc>
          <w:tcPr>
            <w:tcW w:w="751" w:type="dxa"/>
          </w:tcPr>
          <w:p w14:paraId="2971C3D0" w14:textId="2C1C77AB" w:rsidR="00866099" w:rsidRPr="004D1ED1" w:rsidRDefault="00866099" w:rsidP="00DE1BB0">
            <w:r w:rsidRPr="004D1ED1">
              <w:t>86%</w:t>
            </w:r>
          </w:p>
        </w:tc>
        <w:tc>
          <w:tcPr>
            <w:tcW w:w="752" w:type="dxa"/>
          </w:tcPr>
          <w:p w14:paraId="0C71BF1C" w14:textId="4D5CED70" w:rsidR="00866099" w:rsidRPr="004D1ED1" w:rsidRDefault="00866099" w:rsidP="00DE1BB0">
            <w:r w:rsidRPr="004D1ED1">
              <w:t>90%</w:t>
            </w:r>
          </w:p>
        </w:tc>
        <w:tc>
          <w:tcPr>
            <w:tcW w:w="751" w:type="dxa"/>
          </w:tcPr>
          <w:p w14:paraId="02BD3FA9" w14:textId="7EE44AF0" w:rsidR="00866099" w:rsidRPr="004D1ED1" w:rsidRDefault="00866099" w:rsidP="00DE1BB0">
            <w:r w:rsidRPr="004D1ED1">
              <w:t>95%</w:t>
            </w:r>
          </w:p>
        </w:tc>
        <w:tc>
          <w:tcPr>
            <w:tcW w:w="751" w:type="dxa"/>
          </w:tcPr>
          <w:p w14:paraId="313FE97F" w14:textId="4C6700AD" w:rsidR="00866099" w:rsidRPr="004D1ED1" w:rsidRDefault="00866099" w:rsidP="00DE1BB0">
            <w:r w:rsidRPr="004D1ED1">
              <w:t>99%</w:t>
            </w:r>
          </w:p>
        </w:tc>
        <w:tc>
          <w:tcPr>
            <w:tcW w:w="752" w:type="dxa"/>
          </w:tcPr>
          <w:p w14:paraId="7BED8254" w14:textId="052E6BEA" w:rsidR="00866099" w:rsidRPr="004D1ED1" w:rsidRDefault="00866099" w:rsidP="00DE1BB0">
            <w:r w:rsidRPr="004D1ED1">
              <w:t>100%</w:t>
            </w:r>
          </w:p>
        </w:tc>
      </w:tr>
    </w:tbl>
    <w:p w14:paraId="564B104C" w14:textId="79C81851" w:rsidR="003F5510" w:rsidRPr="004D1ED1" w:rsidRDefault="00866099" w:rsidP="00F47BC0">
      <w:pPr>
        <w:pStyle w:val="Citcia"/>
      </w:pPr>
      <w:r w:rsidRPr="004D1ED1">
        <w:t>Zdroj: Zisťovanie mobility obyvateľov Slovenska pre dopravný model SR (2015)</w:t>
      </w:r>
    </w:p>
    <w:p w14:paraId="69005F0C" w14:textId="77777777" w:rsidR="002B0434" w:rsidRDefault="002B0434" w:rsidP="00DE1BB0">
      <w:r>
        <w:t xml:space="preserve">Vzhľadom na predpoklady konkurencieschopnosti cyklistickej dopravy voči iných druhom dopravy v zásade postačuje modelovať distribúciu ciest max do vzdialenosti 7 km, to znamená, že modelovaná je zhruba polovica ciest, pokiaľ prieskumom na </w:t>
      </w:r>
      <w:r w:rsidRPr="007D23E8">
        <w:t>pracovisku (viď Príloha I.2)</w:t>
      </w:r>
      <w:r>
        <w:t xml:space="preserve"> nebol preukázaný iný podiel  dochádzajúcich do zamestnania</w:t>
      </w:r>
      <w:r w:rsidRPr="004D1ED1">
        <w:t xml:space="preserve"> </w:t>
      </w:r>
      <w:r>
        <w:t>z jednotlivých vzdialeností.</w:t>
      </w:r>
    </w:p>
    <w:p w14:paraId="38A2CB38" w14:textId="77777777" w:rsidR="002B0434" w:rsidRDefault="002B0434" w:rsidP="00DE1BB0"/>
    <w:p w14:paraId="36761CD3" w14:textId="77777777" w:rsidR="002B0434" w:rsidRDefault="002B0434" w:rsidP="00DE1BB0">
      <w:pPr>
        <w:sectPr w:rsidR="002B0434" w:rsidSect="006523FF">
          <w:pgSz w:w="11906" w:h="16838"/>
          <w:pgMar w:top="1418" w:right="1418" w:bottom="1418" w:left="1418" w:header="709" w:footer="709" w:gutter="0"/>
          <w:cols w:space="708"/>
          <w:docGrid w:linePitch="360"/>
        </w:sectPr>
      </w:pPr>
    </w:p>
    <w:p w14:paraId="58AACD83" w14:textId="28DA8E71" w:rsidR="002B0434" w:rsidRDefault="002B0434" w:rsidP="00DE1BB0">
      <w:pPr>
        <w:rPr>
          <w:b/>
        </w:rPr>
      </w:pPr>
      <w:r>
        <w:rPr>
          <w:b/>
        </w:rPr>
        <w:lastRenderedPageBreak/>
        <w:t>Príloha I.2 Vzor dotazníka pre prieskum dochádzky do zamestnania</w:t>
      </w:r>
      <w:r w:rsidR="00310D69">
        <w:rPr>
          <w:b/>
        </w:rPr>
        <w:t>:</w:t>
      </w:r>
      <w:r w:rsidR="00522D71">
        <w:rPr>
          <w:b/>
        </w:rPr>
        <w:t xml:space="preserve"> </w:t>
      </w:r>
      <w:r w:rsidR="00522D71">
        <w:rPr>
          <w:b/>
        </w:rPr>
        <w:tab/>
      </w:r>
      <w:r w:rsidR="00522D71">
        <w:rPr>
          <w:b/>
        </w:rPr>
        <w:tab/>
      </w:r>
      <w:r w:rsidR="00522D71">
        <w:rPr>
          <w:b/>
        </w:rPr>
        <w:tab/>
      </w:r>
      <w:r w:rsidR="00522D71">
        <w:t>Firma: ...........................................................................................................................</w:t>
      </w:r>
    </w:p>
    <w:p w14:paraId="6949BC92" w14:textId="01E88CCF" w:rsidR="00310D69" w:rsidRPr="00310D69" w:rsidRDefault="00310D69" w:rsidP="00DE1BB0">
      <w:r w:rsidRPr="00310D69">
        <w:t>Adresa prevádzky: ..................................................</w:t>
      </w:r>
      <w:r>
        <w:t>.............</w:t>
      </w:r>
      <w:r w:rsidR="00522D71">
        <w:t>............................................</w:t>
      </w:r>
      <w:r>
        <w:t>.  Priemerný počet dochádzajúcich zamestnancov za deň: .......</w:t>
      </w:r>
      <w:r w:rsidR="00522D71">
        <w:t>.................................</w:t>
      </w:r>
      <w:r>
        <w:t>.....</w:t>
      </w:r>
    </w:p>
    <w:tbl>
      <w:tblPr>
        <w:tblStyle w:val="Mriekatabuky"/>
        <w:tblW w:w="0" w:type="auto"/>
        <w:tblLook w:val="04A0" w:firstRow="1" w:lastRow="0" w:firstColumn="1" w:lastColumn="0" w:noHBand="0" w:noVBand="1"/>
      </w:tblPr>
      <w:tblGrid>
        <w:gridCol w:w="370"/>
        <w:gridCol w:w="4088"/>
        <w:gridCol w:w="692"/>
        <w:gridCol w:w="858"/>
        <w:gridCol w:w="2228"/>
        <w:gridCol w:w="1253"/>
        <w:gridCol w:w="1124"/>
        <w:gridCol w:w="1911"/>
        <w:gridCol w:w="1432"/>
        <w:gridCol w:w="1432"/>
      </w:tblGrid>
      <w:tr w:rsidR="00522D71" w14:paraId="5938B460" w14:textId="77777777" w:rsidTr="00522D71">
        <w:tc>
          <w:tcPr>
            <w:tcW w:w="369" w:type="dxa"/>
          </w:tcPr>
          <w:p w14:paraId="471923A2" w14:textId="65955CD0" w:rsidR="00310D69" w:rsidRPr="00310D69" w:rsidRDefault="00310D69" w:rsidP="00DE1BB0">
            <w:r w:rsidRPr="00310D69">
              <w:t>č.</w:t>
            </w:r>
          </w:p>
        </w:tc>
        <w:tc>
          <w:tcPr>
            <w:tcW w:w="4197" w:type="dxa"/>
          </w:tcPr>
          <w:p w14:paraId="2A78CAF4" w14:textId="152FFDE9" w:rsidR="00310D69" w:rsidRPr="00310D69" w:rsidRDefault="00310D69" w:rsidP="00DE1BB0">
            <w:r w:rsidRPr="00310D69">
              <w:t xml:space="preserve">Adresa </w:t>
            </w:r>
            <w:r w:rsidRPr="00310D69">
              <w:rPr>
                <w:sz w:val="20"/>
                <w:szCs w:val="20"/>
              </w:rPr>
              <w:t xml:space="preserve">(mesto, </w:t>
            </w:r>
            <w:proofErr w:type="spellStart"/>
            <w:r w:rsidRPr="00310D69">
              <w:rPr>
                <w:sz w:val="20"/>
                <w:szCs w:val="20"/>
              </w:rPr>
              <w:t>m.časť</w:t>
            </w:r>
            <w:proofErr w:type="spellEnd"/>
            <w:r w:rsidRPr="00310D69">
              <w:rPr>
                <w:sz w:val="20"/>
                <w:szCs w:val="20"/>
              </w:rPr>
              <w:t xml:space="preserve">, ulica) </w:t>
            </w:r>
            <w:r w:rsidRPr="00310D69">
              <w:t>pobytu zamest</w:t>
            </w:r>
            <w:r>
              <w:t>n</w:t>
            </w:r>
            <w:r w:rsidRPr="00310D69">
              <w:t>anca</w:t>
            </w:r>
            <w:r w:rsidRPr="00310D69">
              <w:br/>
              <w:t>(miesto, z ktorého najčastejšie dochádza</w:t>
            </w:r>
            <w:r>
              <w:t>, nie trvalé bydlisko</w:t>
            </w:r>
            <w:r w:rsidRPr="00310D69">
              <w:t>)</w:t>
            </w:r>
          </w:p>
        </w:tc>
        <w:tc>
          <w:tcPr>
            <w:tcW w:w="628" w:type="dxa"/>
          </w:tcPr>
          <w:p w14:paraId="770EC8F4" w14:textId="139A9EC2" w:rsidR="00310D69" w:rsidRPr="00310D69" w:rsidRDefault="00310D69" w:rsidP="00DE1BB0">
            <w:r w:rsidRPr="00310D69">
              <w:t>M</w:t>
            </w:r>
            <w:r>
              <w:t>už</w:t>
            </w:r>
            <w:r w:rsidRPr="00310D69">
              <w:t>/</w:t>
            </w:r>
            <w:r>
              <w:br/>
            </w:r>
            <w:r w:rsidRPr="00310D69">
              <w:t>Ž</w:t>
            </w:r>
            <w:r>
              <w:t>ena</w:t>
            </w:r>
          </w:p>
        </w:tc>
        <w:tc>
          <w:tcPr>
            <w:tcW w:w="676" w:type="dxa"/>
          </w:tcPr>
          <w:p w14:paraId="0D404270" w14:textId="2B9025B6" w:rsidR="00310D69" w:rsidRPr="00310D69" w:rsidRDefault="00522D71" w:rsidP="00DE1BB0">
            <w:r>
              <w:t>V</w:t>
            </w:r>
            <w:r w:rsidR="00310D69">
              <w:t>ek</w:t>
            </w:r>
            <w:r>
              <w:t xml:space="preserve"> </w:t>
            </w:r>
            <w:r w:rsidRPr="00522D71">
              <w:t>(rokov)</w:t>
            </w:r>
          </w:p>
        </w:tc>
        <w:tc>
          <w:tcPr>
            <w:tcW w:w="2263" w:type="dxa"/>
          </w:tcPr>
          <w:p w14:paraId="754177A9" w14:textId="4B43643B" w:rsidR="00310D69" w:rsidRPr="00310D69" w:rsidRDefault="00310D69" w:rsidP="00DE1BB0">
            <w:r>
              <w:t>Spôsob dochádzky</w:t>
            </w:r>
            <w:r>
              <w:br/>
            </w:r>
            <w:r w:rsidRPr="00310D69">
              <w:t>(najčastejší dopr. prostriedok v</w:t>
            </w:r>
            <w:r w:rsidR="00542B18">
              <w:t> </w:t>
            </w:r>
            <w:r w:rsidRPr="00310D69">
              <w:t>súčasnosti</w:t>
            </w:r>
            <w:r w:rsidR="00542B18">
              <w:t>:</w:t>
            </w:r>
            <w:r>
              <w:t xml:space="preserve"> AUV, AUS, BUS, VLAK</w:t>
            </w:r>
            <w:r w:rsidR="00542B18">
              <w:t>, MHD, BIKE, PESI</w:t>
            </w:r>
            <w:r w:rsidRPr="00310D69">
              <w:t>)</w:t>
            </w:r>
          </w:p>
        </w:tc>
        <w:tc>
          <w:tcPr>
            <w:tcW w:w="1218" w:type="dxa"/>
          </w:tcPr>
          <w:p w14:paraId="6B987857" w14:textId="623B1B15" w:rsidR="00310D69" w:rsidRPr="00310D69" w:rsidRDefault="00522D71" w:rsidP="00DE1BB0">
            <w:r>
              <w:t>Vzdialenosť</w:t>
            </w:r>
            <w:r>
              <w:br/>
            </w:r>
            <w:r w:rsidRPr="00522D71">
              <w:rPr>
                <w:sz w:val="18"/>
                <w:szCs w:val="18"/>
              </w:rPr>
              <w:t>(</w:t>
            </w:r>
            <w:r>
              <w:rPr>
                <w:sz w:val="18"/>
                <w:szCs w:val="18"/>
              </w:rPr>
              <w:t>odhad km</w:t>
            </w:r>
            <w:r w:rsidRPr="00522D71">
              <w:rPr>
                <w:sz w:val="18"/>
                <w:szCs w:val="18"/>
              </w:rPr>
              <w:t>)</w:t>
            </w:r>
          </w:p>
        </w:tc>
        <w:tc>
          <w:tcPr>
            <w:tcW w:w="1134" w:type="dxa"/>
          </w:tcPr>
          <w:p w14:paraId="534D9BD0" w14:textId="7CB9655F" w:rsidR="00310D69" w:rsidRPr="00310D69" w:rsidRDefault="00522D71" w:rsidP="00DE1BB0">
            <w:r>
              <w:t>Trvanie</w:t>
            </w:r>
            <w:r>
              <w:br/>
            </w:r>
            <w:r w:rsidRPr="00522D71">
              <w:t>(</w:t>
            </w:r>
            <w:r>
              <w:t>odhad minút)</w:t>
            </w:r>
            <w:r>
              <w:br/>
              <w:t>aj rozptyl</w:t>
            </w:r>
          </w:p>
        </w:tc>
        <w:tc>
          <w:tcPr>
            <w:tcW w:w="1941" w:type="dxa"/>
          </w:tcPr>
          <w:p w14:paraId="635F5E4A" w14:textId="469E77A4" w:rsidR="00310D69" w:rsidRPr="00310D69" w:rsidRDefault="00522D71" w:rsidP="00DE1BB0">
            <w:r>
              <w:t>Voliteľné informácie</w:t>
            </w:r>
          </w:p>
        </w:tc>
        <w:tc>
          <w:tcPr>
            <w:tcW w:w="1481" w:type="dxa"/>
          </w:tcPr>
          <w:p w14:paraId="5CB13404" w14:textId="77777777" w:rsidR="00310D69" w:rsidRPr="00310D69" w:rsidRDefault="00310D69" w:rsidP="00DE1BB0"/>
        </w:tc>
        <w:tc>
          <w:tcPr>
            <w:tcW w:w="1481" w:type="dxa"/>
          </w:tcPr>
          <w:p w14:paraId="15257651" w14:textId="77777777" w:rsidR="00310D69" w:rsidRPr="00310D69" w:rsidRDefault="00310D69" w:rsidP="00DE1BB0"/>
        </w:tc>
      </w:tr>
      <w:tr w:rsidR="00522D71" w14:paraId="0814801E" w14:textId="77777777" w:rsidTr="00522D71">
        <w:tc>
          <w:tcPr>
            <w:tcW w:w="369" w:type="dxa"/>
          </w:tcPr>
          <w:p w14:paraId="6F6CB47E" w14:textId="77777777" w:rsidR="00310D69" w:rsidRDefault="00310D69" w:rsidP="00DE1BB0"/>
        </w:tc>
        <w:tc>
          <w:tcPr>
            <w:tcW w:w="4197" w:type="dxa"/>
          </w:tcPr>
          <w:p w14:paraId="38553C03" w14:textId="77777777" w:rsidR="00310D69" w:rsidRDefault="00310D69" w:rsidP="00DE1BB0"/>
        </w:tc>
        <w:tc>
          <w:tcPr>
            <w:tcW w:w="628" w:type="dxa"/>
          </w:tcPr>
          <w:p w14:paraId="38EC0AD8" w14:textId="77777777" w:rsidR="00310D69" w:rsidRDefault="00310D69" w:rsidP="00DE1BB0"/>
        </w:tc>
        <w:tc>
          <w:tcPr>
            <w:tcW w:w="676" w:type="dxa"/>
          </w:tcPr>
          <w:p w14:paraId="5268CC72" w14:textId="77777777" w:rsidR="00310D69" w:rsidRDefault="00310D69" w:rsidP="00DE1BB0"/>
        </w:tc>
        <w:tc>
          <w:tcPr>
            <w:tcW w:w="2263" w:type="dxa"/>
          </w:tcPr>
          <w:p w14:paraId="1978124D" w14:textId="77777777" w:rsidR="00310D69" w:rsidRDefault="00310D69" w:rsidP="00DE1BB0"/>
        </w:tc>
        <w:tc>
          <w:tcPr>
            <w:tcW w:w="1218" w:type="dxa"/>
          </w:tcPr>
          <w:p w14:paraId="2E62C221" w14:textId="77777777" w:rsidR="00310D69" w:rsidRDefault="00310D69" w:rsidP="00DE1BB0"/>
        </w:tc>
        <w:tc>
          <w:tcPr>
            <w:tcW w:w="1134" w:type="dxa"/>
          </w:tcPr>
          <w:p w14:paraId="1DBE41A2" w14:textId="77777777" w:rsidR="00310D69" w:rsidRDefault="00310D69" w:rsidP="00DE1BB0"/>
        </w:tc>
        <w:tc>
          <w:tcPr>
            <w:tcW w:w="1941" w:type="dxa"/>
          </w:tcPr>
          <w:p w14:paraId="26E8AEEE" w14:textId="77777777" w:rsidR="00310D69" w:rsidRDefault="00310D69" w:rsidP="00DE1BB0"/>
        </w:tc>
        <w:tc>
          <w:tcPr>
            <w:tcW w:w="1481" w:type="dxa"/>
          </w:tcPr>
          <w:p w14:paraId="478BBA73" w14:textId="77777777" w:rsidR="00310D69" w:rsidRDefault="00310D69" w:rsidP="00DE1BB0"/>
        </w:tc>
        <w:tc>
          <w:tcPr>
            <w:tcW w:w="1481" w:type="dxa"/>
          </w:tcPr>
          <w:p w14:paraId="567CAD63" w14:textId="77777777" w:rsidR="00310D69" w:rsidRDefault="00310D69" w:rsidP="00DE1BB0"/>
        </w:tc>
      </w:tr>
      <w:tr w:rsidR="00522D71" w14:paraId="01F7EAA1" w14:textId="77777777" w:rsidTr="00522D71">
        <w:tc>
          <w:tcPr>
            <w:tcW w:w="369" w:type="dxa"/>
          </w:tcPr>
          <w:p w14:paraId="1583A783" w14:textId="77777777" w:rsidR="00310D69" w:rsidRDefault="00310D69" w:rsidP="00DE1BB0"/>
        </w:tc>
        <w:tc>
          <w:tcPr>
            <w:tcW w:w="4197" w:type="dxa"/>
          </w:tcPr>
          <w:p w14:paraId="76BE114C" w14:textId="77777777" w:rsidR="00310D69" w:rsidRDefault="00310D69" w:rsidP="00DE1BB0"/>
        </w:tc>
        <w:tc>
          <w:tcPr>
            <w:tcW w:w="628" w:type="dxa"/>
          </w:tcPr>
          <w:p w14:paraId="74AA801A" w14:textId="77777777" w:rsidR="00310D69" w:rsidRDefault="00310D69" w:rsidP="00DE1BB0"/>
        </w:tc>
        <w:tc>
          <w:tcPr>
            <w:tcW w:w="676" w:type="dxa"/>
          </w:tcPr>
          <w:p w14:paraId="4C014A13" w14:textId="77777777" w:rsidR="00310D69" w:rsidRDefault="00310D69" w:rsidP="00DE1BB0"/>
        </w:tc>
        <w:tc>
          <w:tcPr>
            <w:tcW w:w="2263" w:type="dxa"/>
          </w:tcPr>
          <w:p w14:paraId="688392A4" w14:textId="77777777" w:rsidR="00310D69" w:rsidRDefault="00310D69" w:rsidP="00DE1BB0"/>
        </w:tc>
        <w:tc>
          <w:tcPr>
            <w:tcW w:w="1218" w:type="dxa"/>
          </w:tcPr>
          <w:p w14:paraId="1A9D9252" w14:textId="77777777" w:rsidR="00310D69" w:rsidRDefault="00310D69" w:rsidP="00DE1BB0"/>
        </w:tc>
        <w:tc>
          <w:tcPr>
            <w:tcW w:w="1134" w:type="dxa"/>
          </w:tcPr>
          <w:p w14:paraId="2A03071E" w14:textId="77777777" w:rsidR="00310D69" w:rsidRDefault="00310D69" w:rsidP="00DE1BB0"/>
        </w:tc>
        <w:tc>
          <w:tcPr>
            <w:tcW w:w="1941" w:type="dxa"/>
          </w:tcPr>
          <w:p w14:paraId="5134CDA2" w14:textId="77777777" w:rsidR="00310D69" w:rsidRDefault="00310D69" w:rsidP="00DE1BB0"/>
        </w:tc>
        <w:tc>
          <w:tcPr>
            <w:tcW w:w="1481" w:type="dxa"/>
          </w:tcPr>
          <w:p w14:paraId="71C1A17B" w14:textId="77777777" w:rsidR="00310D69" w:rsidRDefault="00310D69" w:rsidP="00DE1BB0"/>
        </w:tc>
        <w:tc>
          <w:tcPr>
            <w:tcW w:w="1481" w:type="dxa"/>
          </w:tcPr>
          <w:p w14:paraId="2C5CDF86" w14:textId="77777777" w:rsidR="00310D69" w:rsidRDefault="00310D69" w:rsidP="00DE1BB0"/>
        </w:tc>
      </w:tr>
      <w:tr w:rsidR="00522D71" w14:paraId="139F3A8A" w14:textId="77777777" w:rsidTr="00522D71">
        <w:tc>
          <w:tcPr>
            <w:tcW w:w="369" w:type="dxa"/>
          </w:tcPr>
          <w:p w14:paraId="1EF0D8E3" w14:textId="77777777" w:rsidR="00310D69" w:rsidRDefault="00310D69" w:rsidP="00DE1BB0"/>
        </w:tc>
        <w:tc>
          <w:tcPr>
            <w:tcW w:w="4197" w:type="dxa"/>
          </w:tcPr>
          <w:p w14:paraId="18BD515D" w14:textId="77777777" w:rsidR="00310D69" w:rsidRDefault="00310D69" w:rsidP="00DE1BB0"/>
        </w:tc>
        <w:tc>
          <w:tcPr>
            <w:tcW w:w="628" w:type="dxa"/>
          </w:tcPr>
          <w:p w14:paraId="31E71F8C" w14:textId="77777777" w:rsidR="00310D69" w:rsidRDefault="00310D69" w:rsidP="00DE1BB0"/>
        </w:tc>
        <w:tc>
          <w:tcPr>
            <w:tcW w:w="676" w:type="dxa"/>
          </w:tcPr>
          <w:p w14:paraId="0AB211A2" w14:textId="77777777" w:rsidR="00310D69" w:rsidRDefault="00310D69" w:rsidP="00DE1BB0"/>
        </w:tc>
        <w:tc>
          <w:tcPr>
            <w:tcW w:w="2263" w:type="dxa"/>
          </w:tcPr>
          <w:p w14:paraId="6C5B2A2C" w14:textId="77777777" w:rsidR="00310D69" w:rsidRDefault="00310D69" w:rsidP="00DE1BB0"/>
        </w:tc>
        <w:tc>
          <w:tcPr>
            <w:tcW w:w="1218" w:type="dxa"/>
          </w:tcPr>
          <w:p w14:paraId="006DCE47" w14:textId="77777777" w:rsidR="00310D69" w:rsidRDefault="00310D69" w:rsidP="00DE1BB0"/>
        </w:tc>
        <w:tc>
          <w:tcPr>
            <w:tcW w:w="1134" w:type="dxa"/>
          </w:tcPr>
          <w:p w14:paraId="0F8F29AD" w14:textId="77777777" w:rsidR="00310D69" w:rsidRDefault="00310D69" w:rsidP="00DE1BB0"/>
        </w:tc>
        <w:tc>
          <w:tcPr>
            <w:tcW w:w="1941" w:type="dxa"/>
          </w:tcPr>
          <w:p w14:paraId="023E87F3" w14:textId="77777777" w:rsidR="00310D69" w:rsidRDefault="00310D69" w:rsidP="00DE1BB0"/>
        </w:tc>
        <w:tc>
          <w:tcPr>
            <w:tcW w:w="1481" w:type="dxa"/>
          </w:tcPr>
          <w:p w14:paraId="33F239CD" w14:textId="77777777" w:rsidR="00310D69" w:rsidRDefault="00310D69" w:rsidP="00DE1BB0"/>
        </w:tc>
        <w:tc>
          <w:tcPr>
            <w:tcW w:w="1481" w:type="dxa"/>
          </w:tcPr>
          <w:p w14:paraId="6EA0385D" w14:textId="77777777" w:rsidR="00310D69" w:rsidRDefault="00310D69" w:rsidP="00DE1BB0"/>
        </w:tc>
      </w:tr>
      <w:tr w:rsidR="00522D71" w14:paraId="0EAED794" w14:textId="77777777" w:rsidTr="00522D71">
        <w:tc>
          <w:tcPr>
            <w:tcW w:w="369" w:type="dxa"/>
          </w:tcPr>
          <w:p w14:paraId="5E958DD5" w14:textId="77777777" w:rsidR="00310D69" w:rsidRDefault="00310D69" w:rsidP="00DE1BB0"/>
        </w:tc>
        <w:tc>
          <w:tcPr>
            <w:tcW w:w="4197" w:type="dxa"/>
          </w:tcPr>
          <w:p w14:paraId="2A6F0C15" w14:textId="77777777" w:rsidR="00310D69" w:rsidRDefault="00310D69" w:rsidP="00DE1BB0"/>
        </w:tc>
        <w:tc>
          <w:tcPr>
            <w:tcW w:w="628" w:type="dxa"/>
          </w:tcPr>
          <w:p w14:paraId="012F4418" w14:textId="77777777" w:rsidR="00310D69" w:rsidRDefault="00310D69" w:rsidP="00DE1BB0"/>
        </w:tc>
        <w:tc>
          <w:tcPr>
            <w:tcW w:w="676" w:type="dxa"/>
          </w:tcPr>
          <w:p w14:paraId="0D54049E" w14:textId="77777777" w:rsidR="00310D69" w:rsidRDefault="00310D69" w:rsidP="00DE1BB0"/>
        </w:tc>
        <w:tc>
          <w:tcPr>
            <w:tcW w:w="2263" w:type="dxa"/>
          </w:tcPr>
          <w:p w14:paraId="6B41E834" w14:textId="77777777" w:rsidR="00310D69" w:rsidRDefault="00310D69" w:rsidP="00DE1BB0"/>
        </w:tc>
        <w:tc>
          <w:tcPr>
            <w:tcW w:w="1218" w:type="dxa"/>
          </w:tcPr>
          <w:p w14:paraId="5A76112E" w14:textId="77777777" w:rsidR="00310D69" w:rsidRDefault="00310D69" w:rsidP="00DE1BB0"/>
        </w:tc>
        <w:tc>
          <w:tcPr>
            <w:tcW w:w="1134" w:type="dxa"/>
          </w:tcPr>
          <w:p w14:paraId="7E7E04B9" w14:textId="77777777" w:rsidR="00310D69" w:rsidRDefault="00310D69" w:rsidP="00DE1BB0"/>
        </w:tc>
        <w:tc>
          <w:tcPr>
            <w:tcW w:w="1941" w:type="dxa"/>
          </w:tcPr>
          <w:p w14:paraId="43882671" w14:textId="77777777" w:rsidR="00310D69" w:rsidRDefault="00310D69" w:rsidP="00DE1BB0"/>
        </w:tc>
        <w:tc>
          <w:tcPr>
            <w:tcW w:w="1481" w:type="dxa"/>
          </w:tcPr>
          <w:p w14:paraId="593792FE" w14:textId="77777777" w:rsidR="00310D69" w:rsidRDefault="00310D69" w:rsidP="00DE1BB0"/>
        </w:tc>
        <w:tc>
          <w:tcPr>
            <w:tcW w:w="1481" w:type="dxa"/>
          </w:tcPr>
          <w:p w14:paraId="440F013A" w14:textId="77777777" w:rsidR="00310D69" w:rsidRDefault="00310D69" w:rsidP="00DE1BB0"/>
        </w:tc>
      </w:tr>
      <w:tr w:rsidR="00522D71" w14:paraId="2CCE53F0" w14:textId="77777777" w:rsidTr="00522D71">
        <w:tc>
          <w:tcPr>
            <w:tcW w:w="369" w:type="dxa"/>
          </w:tcPr>
          <w:p w14:paraId="64910382" w14:textId="77777777" w:rsidR="00310D69" w:rsidRDefault="00310D69" w:rsidP="00DE1BB0"/>
        </w:tc>
        <w:tc>
          <w:tcPr>
            <w:tcW w:w="4197" w:type="dxa"/>
          </w:tcPr>
          <w:p w14:paraId="2A407BA7" w14:textId="77777777" w:rsidR="00310D69" w:rsidRDefault="00310D69" w:rsidP="00DE1BB0"/>
        </w:tc>
        <w:tc>
          <w:tcPr>
            <w:tcW w:w="628" w:type="dxa"/>
          </w:tcPr>
          <w:p w14:paraId="06D47EF4" w14:textId="77777777" w:rsidR="00310D69" w:rsidRDefault="00310D69" w:rsidP="00DE1BB0"/>
        </w:tc>
        <w:tc>
          <w:tcPr>
            <w:tcW w:w="676" w:type="dxa"/>
          </w:tcPr>
          <w:p w14:paraId="2116FC7B" w14:textId="77777777" w:rsidR="00310D69" w:rsidRDefault="00310D69" w:rsidP="00DE1BB0"/>
        </w:tc>
        <w:tc>
          <w:tcPr>
            <w:tcW w:w="2263" w:type="dxa"/>
          </w:tcPr>
          <w:p w14:paraId="09E0CA1C" w14:textId="77777777" w:rsidR="00310D69" w:rsidRDefault="00310D69" w:rsidP="00DE1BB0"/>
        </w:tc>
        <w:tc>
          <w:tcPr>
            <w:tcW w:w="1218" w:type="dxa"/>
          </w:tcPr>
          <w:p w14:paraId="0FB65C55" w14:textId="77777777" w:rsidR="00310D69" w:rsidRDefault="00310D69" w:rsidP="00DE1BB0"/>
        </w:tc>
        <w:tc>
          <w:tcPr>
            <w:tcW w:w="1134" w:type="dxa"/>
          </w:tcPr>
          <w:p w14:paraId="6200D948" w14:textId="77777777" w:rsidR="00310D69" w:rsidRDefault="00310D69" w:rsidP="00DE1BB0"/>
        </w:tc>
        <w:tc>
          <w:tcPr>
            <w:tcW w:w="1941" w:type="dxa"/>
          </w:tcPr>
          <w:p w14:paraId="559C8608" w14:textId="77777777" w:rsidR="00310D69" w:rsidRDefault="00310D69" w:rsidP="00DE1BB0"/>
        </w:tc>
        <w:tc>
          <w:tcPr>
            <w:tcW w:w="1481" w:type="dxa"/>
          </w:tcPr>
          <w:p w14:paraId="70CEC9CE" w14:textId="77777777" w:rsidR="00310D69" w:rsidRDefault="00310D69" w:rsidP="00DE1BB0"/>
        </w:tc>
        <w:tc>
          <w:tcPr>
            <w:tcW w:w="1481" w:type="dxa"/>
          </w:tcPr>
          <w:p w14:paraId="4820C910" w14:textId="77777777" w:rsidR="00310D69" w:rsidRDefault="00310D69" w:rsidP="00DE1BB0"/>
        </w:tc>
      </w:tr>
      <w:tr w:rsidR="00522D71" w14:paraId="2E92E09B" w14:textId="77777777" w:rsidTr="00522D71">
        <w:tc>
          <w:tcPr>
            <w:tcW w:w="369" w:type="dxa"/>
          </w:tcPr>
          <w:p w14:paraId="0276F1F6" w14:textId="77777777" w:rsidR="00310D69" w:rsidRDefault="00310D69" w:rsidP="00DE1BB0"/>
        </w:tc>
        <w:tc>
          <w:tcPr>
            <w:tcW w:w="4197" w:type="dxa"/>
          </w:tcPr>
          <w:p w14:paraId="282D20B1" w14:textId="77777777" w:rsidR="00310D69" w:rsidRDefault="00310D69" w:rsidP="00DE1BB0"/>
        </w:tc>
        <w:tc>
          <w:tcPr>
            <w:tcW w:w="628" w:type="dxa"/>
          </w:tcPr>
          <w:p w14:paraId="664BF43A" w14:textId="77777777" w:rsidR="00310D69" w:rsidRDefault="00310D69" w:rsidP="00DE1BB0"/>
        </w:tc>
        <w:tc>
          <w:tcPr>
            <w:tcW w:w="676" w:type="dxa"/>
          </w:tcPr>
          <w:p w14:paraId="0AE54252" w14:textId="77777777" w:rsidR="00310D69" w:rsidRDefault="00310D69" w:rsidP="00DE1BB0"/>
        </w:tc>
        <w:tc>
          <w:tcPr>
            <w:tcW w:w="2263" w:type="dxa"/>
          </w:tcPr>
          <w:p w14:paraId="182DF0D3" w14:textId="77777777" w:rsidR="00310D69" w:rsidRDefault="00310D69" w:rsidP="00DE1BB0"/>
        </w:tc>
        <w:tc>
          <w:tcPr>
            <w:tcW w:w="1218" w:type="dxa"/>
          </w:tcPr>
          <w:p w14:paraId="357C887F" w14:textId="77777777" w:rsidR="00310D69" w:rsidRDefault="00310D69" w:rsidP="00DE1BB0"/>
        </w:tc>
        <w:tc>
          <w:tcPr>
            <w:tcW w:w="1134" w:type="dxa"/>
          </w:tcPr>
          <w:p w14:paraId="058D52AC" w14:textId="77777777" w:rsidR="00310D69" w:rsidRDefault="00310D69" w:rsidP="00DE1BB0"/>
        </w:tc>
        <w:tc>
          <w:tcPr>
            <w:tcW w:w="1941" w:type="dxa"/>
          </w:tcPr>
          <w:p w14:paraId="19A93E7E" w14:textId="77777777" w:rsidR="00310D69" w:rsidRDefault="00310D69" w:rsidP="00DE1BB0"/>
        </w:tc>
        <w:tc>
          <w:tcPr>
            <w:tcW w:w="1481" w:type="dxa"/>
          </w:tcPr>
          <w:p w14:paraId="0CCF2F7C" w14:textId="77777777" w:rsidR="00310D69" w:rsidRDefault="00310D69" w:rsidP="00DE1BB0"/>
        </w:tc>
        <w:tc>
          <w:tcPr>
            <w:tcW w:w="1481" w:type="dxa"/>
          </w:tcPr>
          <w:p w14:paraId="035D5502" w14:textId="77777777" w:rsidR="00310D69" w:rsidRDefault="00310D69" w:rsidP="00DE1BB0"/>
        </w:tc>
      </w:tr>
      <w:tr w:rsidR="00522D71" w14:paraId="591BA9C7" w14:textId="77777777" w:rsidTr="00522D71">
        <w:tc>
          <w:tcPr>
            <w:tcW w:w="369" w:type="dxa"/>
          </w:tcPr>
          <w:p w14:paraId="53BF5A99" w14:textId="77777777" w:rsidR="00310D69" w:rsidRDefault="00310D69" w:rsidP="00DE1BB0"/>
        </w:tc>
        <w:tc>
          <w:tcPr>
            <w:tcW w:w="4197" w:type="dxa"/>
          </w:tcPr>
          <w:p w14:paraId="6F037393" w14:textId="77777777" w:rsidR="00310D69" w:rsidRDefault="00310D69" w:rsidP="00DE1BB0"/>
        </w:tc>
        <w:tc>
          <w:tcPr>
            <w:tcW w:w="628" w:type="dxa"/>
          </w:tcPr>
          <w:p w14:paraId="7275BFFE" w14:textId="77777777" w:rsidR="00310D69" w:rsidRDefault="00310D69" w:rsidP="00DE1BB0"/>
        </w:tc>
        <w:tc>
          <w:tcPr>
            <w:tcW w:w="676" w:type="dxa"/>
          </w:tcPr>
          <w:p w14:paraId="2A535B33" w14:textId="77777777" w:rsidR="00310D69" w:rsidRDefault="00310D69" w:rsidP="00DE1BB0"/>
        </w:tc>
        <w:tc>
          <w:tcPr>
            <w:tcW w:w="2263" w:type="dxa"/>
          </w:tcPr>
          <w:p w14:paraId="5ADE8AF8" w14:textId="77777777" w:rsidR="00310D69" w:rsidRDefault="00310D69" w:rsidP="00DE1BB0"/>
        </w:tc>
        <w:tc>
          <w:tcPr>
            <w:tcW w:w="1218" w:type="dxa"/>
          </w:tcPr>
          <w:p w14:paraId="268624F6" w14:textId="77777777" w:rsidR="00310D69" w:rsidRDefault="00310D69" w:rsidP="00DE1BB0"/>
        </w:tc>
        <w:tc>
          <w:tcPr>
            <w:tcW w:w="1134" w:type="dxa"/>
          </w:tcPr>
          <w:p w14:paraId="0344B52E" w14:textId="77777777" w:rsidR="00310D69" w:rsidRDefault="00310D69" w:rsidP="00DE1BB0"/>
        </w:tc>
        <w:tc>
          <w:tcPr>
            <w:tcW w:w="1941" w:type="dxa"/>
          </w:tcPr>
          <w:p w14:paraId="7DE767F2" w14:textId="77777777" w:rsidR="00310D69" w:rsidRDefault="00310D69" w:rsidP="00DE1BB0"/>
        </w:tc>
        <w:tc>
          <w:tcPr>
            <w:tcW w:w="1481" w:type="dxa"/>
          </w:tcPr>
          <w:p w14:paraId="318B9EA3" w14:textId="77777777" w:rsidR="00310D69" w:rsidRDefault="00310D69" w:rsidP="00DE1BB0"/>
        </w:tc>
        <w:tc>
          <w:tcPr>
            <w:tcW w:w="1481" w:type="dxa"/>
          </w:tcPr>
          <w:p w14:paraId="54519706" w14:textId="77777777" w:rsidR="00310D69" w:rsidRDefault="00310D69" w:rsidP="00DE1BB0"/>
        </w:tc>
      </w:tr>
    </w:tbl>
    <w:p w14:paraId="7F7246B9" w14:textId="77777777" w:rsidR="00310D69" w:rsidRPr="002B0434" w:rsidRDefault="00310D69" w:rsidP="00DE1BB0"/>
    <w:p w14:paraId="44B063E5" w14:textId="77777777" w:rsidR="00310D69" w:rsidRDefault="00310D69" w:rsidP="00DE1BB0">
      <w:pPr>
        <w:sectPr w:rsidR="00310D69" w:rsidSect="00310D69">
          <w:pgSz w:w="16838" w:h="11906" w:orient="landscape"/>
          <w:pgMar w:top="720" w:right="720" w:bottom="720" w:left="720" w:header="708" w:footer="708" w:gutter="0"/>
          <w:cols w:space="708"/>
          <w:docGrid w:linePitch="360"/>
        </w:sectPr>
      </w:pPr>
    </w:p>
    <w:p w14:paraId="5193E058" w14:textId="39888057" w:rsidR="00BC0A52" w:rsidRPr="004D1ED1" w:rsidRDefault="00BC0A52" w:rsidP="00DE1BB0">
      <w:r w:rsidRPr="004D1ED1">
        <w:lastRenderedPageBreak/>
        <w:t xml:space="preserve">PRÍLOHA II </w:t>
      </w:r>
      <w:r w:rsidRPr="004D1ED1">
        <w:tab/>
        <w:t>Príklad výpočtu benefitov projektu</w:t>
      </w:r>
    </w:p>
    <w:p w14:paraId="31127221" w14:textId="22DDEF90" w:rsidR="00BC0A52" w:rsidRPr="004D1ED1" w:rsidRDefault="00BC0A52" w:rsidP="00DE1BB0">
      <w:r w:rsidRPr="004D1ED1">
        <w:t>V analýze dopytu bolo zistené, že potenciál využitia plánovanej cyklistickej trasy predstavuje 8 tisíc osôb za rok, ktorí pri priemernej vzdialenosti cesty 2,7 km spolu najazdia 21 600 km ročne. Vzhľadom na polohu, približne 10% dopravných výkonov (v km) dochádzkových trás do uvažovaného cieľa pripadá na centrálnu zónu a 90% na bežnú mestskú oblasť. Plne segregované úseky trasy v extraviláne majú spolu dĺžku 1,8 km.</w:t>
      </w:r>
    </w:p>
    <w:tbl>
      <w:tblPr>
        <w:tblStyle w:val="Mriekatabuky"/>
        <w:tblW w:w="0" w:type="auto"/>
        <w:tblLook w:val="04A0" w:firstRow="1" w:lastRow="0" w:firstColumn="1" w:lastColumn="0" w:noHBand="0" w:noVBand="1"/>
      </w:tblPr>
      <w:tblGrid>
        <w:gridCol w:w="3926"/>
        <w:gridCol w:w="1712"/>
        <w:gridCol w:w="856"/>
        <w:gridCol w:w="856"/>
        <w:gridCol w:w="867"/>
        <w:gridCol w:w="845"/>
      </w:tblGrid>
      <w:tr w:rsidR="00BC0A52" w:rsidRPr="004D1ED1" w14:paraId="4457C795" w14:textId="77777777" w:rsidTr="003842BF">
        <w:tc>
          <w:tcPr>
            <w:tcW w:w="3926" w:type="dxa"/>
          </w:tcPr>
          <w:p w14:paraId="2BB12485" w14:textId="77777777" w:rsidR="00BC0A52" w:rsidRPr="004D1ED1" w:rsidRDefault="00BC0A52" w:rsidP="00DE1BB0">
            <w:r w:rsidRPr="004D1ED1">
              <w:t>Celkový potenciál využitia</w:t>
            </w:r>
          </w:p>
        </w:tc>
        <w:tc>
          <w:tcPr>
            <w:tcW w:w="5136" w:type="dxa"/>
            <w:gridSpan w:val="5"/>
          </w:tcPr>
          <w:p w14:paraId="45D2D590" w14:textId="77777777" w:rsidR="00BC0A52" w:rsidRPr="004D1ED1" w:rsidRDefault="00BC0A52" w:rsidP="00DE1BB0">
            <w:r w:rsidRPr="004D1ED1">
              <w:t>Skutočný (zistený prieskumom)</w:t>
            </w:r>
          </w:p>
        </w:tc>
      </w:tr>
      <w:tr w:rsidR="00BC0A52" w:rsidRPr="004D1ED1" w14:paraId="09C41AE3" w14:textId="77777777" w:rsidTr="003842BF">
        <w:tc>
          <w:tcPr>
            <w:tcW w:w="3926" w:type="dxa"/>
          </w:tcPr>
          <w:p w14:paraId="769089E6" w14:textId="77777777" w:rsidR="00BC0A52" w:rsidRPr="004D1ED1" w:rsidRDefault="00BC0A52" w:rsidP="00DE1BB0">
            <w:r w:rsidRPr="004D1ED1">
              <w:t>Počet užívateľov</w:t>
            </w:r>
          </w:p>
        </w:tc>
        <w:tc>
          <w:tcPr>
            <w:tcW w:w="5136" w:type="dxa"/>
            <w:gridSpan w:val="5"/>
          </w:tcPr>
          <w:p w14:paraId="2207368A" w14:textId="77777777" w:rsidR="00BC0A52" w:rsidRPr="004D1ED1" w:rsidRDefault="00BC0A52" w:rsidP="00DE1BB0">
            <w:r w:rsidRPr="004D1ED1">
              <w:t>8000 / rok</w:t>
            </w:r>
          </w:p>
        </w:tc>
      </w:tr>
      <w:tr w:rsidR="00BC0A52" w:rsidRPr="004D1ED1" w14:paraId="54C92374" w14:textId="77777777" w:rsidTr="003842BF">
        <w:tc>
          <w:tcPr>
            <w:tcW w:w="3926" w:type="dxa"/>
          </w:tcPr>
          <w:p w14:paraId="43482645" w14:textId="77777777" w:rsidR="00BC0A52" w:rsidRPr="004D1ED1" w:rsidRDefault="00BC0A52" w:rsidP="00DE1BB0">
            <w:r w:rsidRPr="004D1ED1">
              <w:t>Priemerná dĺžka jazdy (bicyklom)</w:t>
            </w:r>
          </w:p>
        </w:tc>
        <w:tc>
          <w:tcPr>
            <w:tcW w:w="5136" w:type="dxa"/>
            <w:gridSpan w:val="5"/>
          </w:tcPr>
          <w:p w14:paraId="41F0FA8F" w14:textId="77777777" w:rsidR="00BC0A52" w:rsidRPr="004D1ED1" w:rsidRDefault="00BC0A52" w:rsidP="00DE1BB0">
            <w:r w:rsidRPr="004D1ED1">
              <w:t>2,7 km</w:t>
            </w:r>
          </w:p>
        </w:tc>
      </w:tr>
      <w:tr w:rsidR="00BC0A52" w:rsidRPr="004D1ED1" w14:paraId="7D32F6B3" w14:textId="77777777" w:rsidTr="003842BF">
        <w:tc>
          <w:tcPr>
            <w:tcW w:w="3926" w:type="dxa"/>
          </w:tcPr>
          <w:p w14:paraId="4361FB5F" w14:textId="77777777" w:rsidR="00BC0A52" w:rsidRPr="004D1ED1" w:rsidRDefault="00BC0A52" w:rsidP="00DE1BB0">
            <w:r w:rsidRPr="004D1ED1">
              <w:t>Objem cyklistickej dopravy</w:t>
            </w:r>
          </w:p>
        </w:tc>
        <w:tc>
          <w:tcPr>
            <w:tcW w:w="5136" w:type="dxa"/>
            <w:gridSpan w:val="5"/>
          </w:tcPr>
          <w:p w14:paraId="20F54A60" w14:textId="77777777" w:rsidR="00BC0A52" w:rsidRPr="004D1ED1" w:rsidRDefault="00BC0A52" w:rsidP="00DE1BB0">
            <w:r w:rsidRPr="004D1ED1">
              <w:t>21 600 km / rok</w:t>
            </w:r>
          </w:p>
        </w:tc>
      </w:tr>
      <w:tr w:rsidR="00BC0A52" w:rsidRPr="004D1ED1" w14:paraId="22503863" w14:textId="77777777" w:rsidTr="003842BF">
        <w:tc>
          <w:tcPr>
            <w:tcW w:w="3926" w:type="dxa"/>
          </w:tcPr>
          <w:p w14:paraId="272F2937" w14:textId="77777777" w:rsidR="00BC0A52" w:rsidRPr="004D1ED1" w:rsidRDefault="00BC0A52" w:rsidP="00DE1BB0">
            <w:r w:rsidRPr="004D1ED1">
              <w:t>Podiel prevedenej dopravy z</w:t>
            </w:r>
          </w:p>
        </w:tc>
        <w:tc>
          <w:tcPr>
            <w:tcW w:w="1712" w:type="dxa"/>
          </w:tcPr>
          <w:p w14:paraId="574CE3F1" w14:textId="77777777" w:rsidR="00BC0A52" w:rsidRPr="004D1ED1" w:rsidRDefault="00BC0A52" w:rsidP="00DE1BB0">
            <w:r w:rsidRPr="004D1ED1">
              <w:t>Peší = 10 %</w:t>
            </w:r>
          </w:p>
        </w:tc>
        <w:tc>
          <w:tcPr>
            <w:tcW w:w="1712" w:type="dxa"/>
            <w:gridSpan w:val="2"/>
          </w:tcPr>
          <w:p w14:paraId="3BD180E6" w14:textId="77777777" w:rsidR="00BC0A52" w:rsidRPr="004D1ED1" w:rsidRDefault="00BC0A52" w:rsidP="00DE1BB0">
            <w:r w:rsidRPr="004D1ED1">
              <w:t>HD = 35%</w:t>
            </w:r>
          </w:p>
        </w:tc>
        <w:tc>
          <w:tcPr>
            <w:tcW w:w="1712" w:type="dxa"/>
            <w:gridSpan w:val="2"/>
          </w:tcPr>
          <w:p w14:paraId="6F4AC40E" w14:textId="77777777" w:rsidR="00BC0A52" w:rsidRPr="004D1ED1" w:rsidRDefault="00BC0A52" w:rsidP="00DE1BB0">
            <w:r w:rsidRPr="004D1ED1">
              <w:t>IAD = 55%</w:t>
            </w:r>
          </w:p>
        </w:tc>
      </w:tr>
      <w:tr w:rsidR="00BC0A52" w:rsidRPr="004D1ED1" w14:paraId="61DEA344" w14:textId="77777777" w:rsidTr="003842BF">
        <w:tc>
          <w:tcPr>
            <w:tcW w:w="3926" w:type="dxa"/>
          </w:tcPr>
          <w:p w14:paraId="7A8FE5A2" w14:textId="77777777" w:rsidR="00BC0A52" w:rsidRPr="004D1ED1" w:rsidRDefault="00BC0A52" w:rsidP="00DE1BB0"/>
        </w:tc>
        <w:tc>
          <w:tcPr>
            <w:tcW w:w="1712" w:type="dxa"/>
          </w:tcPr>
          <w:p w14:paraId="7D69767A" w14:textId="77777777" w:rsidR="00BC0A52" w:rsidRPr="004D1ED1" w:rsidRDefault="00BC0A52" w:rsidP="00DE1BB0">
            <w:r w:rsidRPr="004D1ED1">
              <w:t>2160 km/rok</w:t>
            </w:r>
          </w:p>
        </w:tc>
        <w:tc>
          <w:tcPr>
            <w:tcW w:w="1712" w:type="dxa"/>
            <w:gridSpan w:val="2"/>
          </w:tcPr>
          <w:p w14:paraId="51F3259F" w14:textId="77777777" w:rsidR="00BC0A52" w:rsidRPr="004D1ED1" w:rsidRDefault="00BC0A52" w:rsidP="00DE1BB0">
            <w:r w:rsidRPr="004D1ED1">
              <w:t>7560 km/rok</w:t>
            </w:r>
          </w:p>
        </w:tc>
        <w:tc>
          <w:tcPr>
            <w:tcW w:w="1712" w:type="dxa"/>
            <w:gridSpan w:val="2"/>
          </w:tcPr>
          <w:p w14:paraId="77F735FA" w14:textId="77777777" w:rsidR="00BC0A52" w:rsidRPr="004D1ED1" w:rsidRDefault="00BC0A52" w:rsidP="00DE1BB0">
            <w:r w:rsidRPr="004D1ED1">
              <w:t>11 880 km/rok</w:t>
            </w:r>
          </w:p>
        </w:tc>
      </w:tr>
      <w:tr w:rsidR="00BC0A52" w:rsidRPr="004D1ED1" w14:paraId="7F378F54" w14:textId="77777777" w:rsidTr="003842BF">
        <w:tc>
          <w:tcPr>
            <w:tcW w:w="3926" w:type="dxa"/>
            <w:shd w:val="clear" w:color="auto" w:fill="D9D9D9" w:themeFill="background1" w:themeFillShade="D9"/>
          </w:tcPr>
          <w:p w14:paraId="352A53D3" w14:textId="77777777" w:rsidR="00BC0A52" w:rsidRPr="004D1ED1" w:rsidRDefault="00BC0A52" w:rsidP="00DE1BB0">
            <w:r w:rsidRPr="004D1ED1">
              <w:t>Prínosy zlepšenia zdravia</w:t>
            </w:r>
          </w:p>
        </w:tc>
        <w:tc>
          <w:tcPr>
            <w:tcW w:w="5136" w:type="dxa"/>
            <w:gridSpan w:val="5"/>
            <w:shd w:val="clear" w:color="auto" w:fill="D9D9D9" w:themeFill="background1" w:themeFillShade="D9"/>
          </w:tcPr>
          <w:p w14:paraId="33DEA39D" w14:textId="77777777" w:rsidR="00BC0A52" w:rsidRPr="004D1ED1" w:rsidRDefault="00BC0A52" w:rsidP="00DE1BB0"/>
        </w:tc>
      </w:tr>
      <w:tr w:rsidR="00BC0A52" w:rsidRPr="004D1ED1" w14:paraId="5412441F" w14:textId="77777777" w:rsidTr="003842BF">
        <w:tc>
          <w:tcPr>
            <w:tcW w:w="3926" w:type="dxa"/>
          </w:tcPr>
          <w:p w14:paraId="11828CCB" w14:textId="77777777" w:rsidR="00BC0A52" w:rsidRPr="004D1ED1" w:rsidRDefault="00BC0A52" w:rsidP="00DE1BB0"/>
        </w:tc>
        <w:tc>
          <w:tcPr>
            <w:tcW w:w="1712" w:type="dxa"/>
          </w:tcPr>
          <w:p w14:paraId="58600436" w14:textId="77777777" w:rsidR="00BC0A52" w:rsidRPr="004D1ED1" w:rsidRDefault="00BC0A52" w:rsidP="00DE1BB0">
            <w:r w:rsidRPr="004D1ED1">
              <w:t>Peší</w:t>
            </w:r>
          </w:p>
        </w:tc>
        <w:tc>
          <w:tcPr>
            <w:tcW w:w="1712" w:type="dxa"/>
            <w:gridSpan w:val="2"/>
          </w:tcPr>
          <w:p w14:paraId="768E7BDB" w14:textId="77777777" w:rsidR="00BC0A52" w:rsidRPr="004D1ED1" w:rsidRDefault="00BC0A52" w:rsidP="00DE1BB0">
            <w:r w:rsidRPr="004D1ED1">
              <w:t>HD</w:t>
            </w:r>
          </w:p>
        </w:tc>
        <w:tc>
          <w:tcPr>
            <w:tcW w:w="1712" w:type="dxa"/>
            <w:gridSpan w:val="2"/>
          </w:tcPr>
          <w:p w14:paraId="53328482" w14:textId="77777777" w:rsidR="00BC0A52" w:rsidRPr="004D1ED1" w:rsidRDefault="00BC0A52" w:rsidP="00DE1BB0">
            <w:r w:rsidRPr="004D1ED1">
              <w:t>IAD</w:t>
            </w:r>
          </w:p>
        </w:tc>
      </w:tr>
      <w:tr w:rsidR="00BC0A52" w:rsidRPr="004D1ED1" w14:paraId="7022D5FD" w14:textId="77777777" w:rsidTr="003842BF">
        <w:tc>
          <w:tcPr>
            <w:tcW w:w="3926" w:type="dxa"/>
          </w:tcPr>
          <w:p w14:paraId="5BCC2B62" w14:textId="77777777" w:rsidR="00BC0A52" w:rsidRPr="004D1ED1" w:rsidRDefault="00BC0A52" w:rsidP="00DE1BB0">
            <w:r w:rsidRPr="004D1ED1">
              <w:t>- jednotkové prínosy</w:t>
            </w:r>
          </w:p>
        </w:tc>
        <w:tc>
          <w:tcPr>
            <w:tcW w:w="1712" w:type="dxa"/>
          </w:tcPr>
          <w:p w14:paraId="42A92B70" w14:textId="77777777" w:rsidR="00BC0A52" w:rsidRPr="004D1ED1" w:rsidRDefault="00BC0A52" w:rsidP="00DE1BB0">
            <w:r w:rsidRPr="004D1ED1">
              <w:t>neuvažuje sa</w:t>
            </w:r>
          </w:p>
        </w:tc>
        <w:tc>
          <w:tcPr>
            <w:tcW w:w="1712" w:type="dxa"/>
            <w:gridSpan w:val="2"/>
          </w:tcPr>
          <w:p w14:paraId="6EF4438C" w14:textId="77777777" w:rsidR="00BC0A52" w:rsidRPr="004D1ED1" w:rsidRDefault="00BC0A52" w:rsidP="00DE1BB0">
            <w:r w:rsidRPr="004D1ED1">
              <w:t>0,667 €/km</w:t>
            </w:r>
          </w:p>
        </w:tc>
        <w:tc>
          <w:tcPr>
            <w:tcW w:w="1712" w:type="dxa"/>
            <w:gridSpan w:val="2"/>
          </w:tcPr>
          <w:p w14:paraId="2BD04639" w14:textId="77777777" w:rsidR="00BC0A52" w:rsidRPr="004D1ED1" w:rsidRDefault="00BC0A52" w:rsidP="00DE1BB0">
            <w:r w:rsidRPr="004D1ED1">
              <w:t>0,667 €/km</w:t>
            </w:r>
          </w:p>
        </w:tc>
      </w:tr>
      <w:tr w:rsidR="00BC0A52" w:rsidRPr="004D1ED1" w14:paraId="69BFB662" w14:textId="77777777" w:rsidTr="003842BF">
        <w:tc>
          <w:tcPr>
            <w:tcW w:w="3926" w:type="dxa"/>
          </w:tcPr>
          <w:p w14:paraId="03785096" w14:textId="77777777" w:rsidR="00BC0A52" w:rsidRPr="004D1ED1" w:rsidRDefault="00BC0A52" w:rsidP="00DE1BB0">
            <w:r w:rsidRPr="004D1ED1">
              <w:t>- absolútne prínosy za rok</w:t>
            </w:r>
          </w:p>
        </w:tc>
        <w:tc>
          <w:tcPr>
            <w:tcW w:w="1712" w:type="dxa"/>
          </w:tcPr>
          <w:p w14:paraId="39B83FC4" w14:textId="77777777" w:rsidR="00BC0A52" w:rsidRPr="004D1ED1" w:rsidRDefault="00BC0A52" w:rsidP="00DE1BB0"/>
        </w:tc>
        <w:tc>
          <w:tcPr>
            <w:tcW w:w="1712" w:type="dxa"/>
            <w:gridSpan w:val="2"/>
          </w:tcPr>
          <w:p w14:paraId="6C7321A9" w14:textId="77777777" w:rsidR="00BC0A52" w:rsidRPr="004D1ED1" w:rsidRDefault="00BC0A52" w:rsidP="00DE1BB0">
            <w:r w:rsidRPr="004D1ED1">
              <w:t>5042,52 €/rok</w:t>
            </w:r>
          </w:p>
        </w:tc>
        <w:tc>
          <w:tcPr>
            <w:tcW w:w="1712" w:type="dxa"/>
            <w:gridSpan w:val="2"/>
          </w:tcPr>
          <w:p w14:paraId="17DF39F9" w14:textId="77777777" w:rsidR="00BC0A52" w:rsidRPr="004D1ED1" w:rsidRDefault="00BC0A52" w:rsidP="00DE1BB0">
            <w:r w:rsidRPr="004D1ED1">
              <w:t>7923,96 €/rok</w:t>
            </w:r>
          </w:p>
        </w:tc>
      </w:tr>
      <w:tr w:rsidR="00BC0A52" w:rsidRPr="004D1ED1" w14:paraId="6040E973" w14:textId="77777777" w:rsidTr="003842BF">
        <w:tc>
          <w:tcPr>
            <w:tcW w:w="3926" w:type="dxa"/>
            <w:shd w:val="clear" w:color="auto" w:fill="FFFFFF" w:themeFill="background1"/>
          </w:tcPr>
          <w:p w14:paraId="7AC4BEE4" w14:textId="77777777" w:rsidR="00BC0A52" w:rsidRPr="004D1ED1" w:rsidRDefault="00BC0A52" w:rsidP="00DE1BB0">
            <w:r w:rsidRPr="004D1ED1">
              <w:t>- spolu absolútne prínosy za rok</w:t>
            </w:r>
          </w:p>
        </w:tc>
        <w:tc>
          <w:tcPr>
            <w:tcW w:w="5136" w:type="dxa"/>
            <w:gridSpan w:val="5"/>
            <w:shd w:val="clear" w:color="auto" w:fill="FFFFFF" w:themeFill="background1"/>
          </w:tcPr>
          <w:p w14:paraId="68DC233E" w14:textId="77777777" w:rsidR="00BC0A52" w:rsidRPr="004D1ED1" w:rsidRDefault="00BC0A52" w:rsidP="00DE1BB0">
            <w:r w:rsidRPr="004D1ED1">
              <w:t>12 966,48 €</w:t>
            </w:r>
          </w:p>
        </w:tc>
      </w:tr>
      <w:tr w:rsidR="00BC0A52" w:rsidRPr="004D1ED1" w14:paraId="78841289" w14:textId="77777777" w:rsidTr="003842BF">
        <w:tc>
          <w:tcPr>
            <w:tcW w:w="3926" w:type="dxa"/>
            <w:shd w:val="clear" w:color="auto" w:fill="FFFFFF" w:themeFill="background1"/>
          </w:tcPr>
          <w:p w14:paraId="3548B825" w14:textId="77777777" w:rsidR="00BC0A52" w:rsidRPr="004D1ED1" w:rsidRDefault="00BC0A52" w:rsidP="00DE1BB0">
            <w:r w:rsidRPr="004D1ED1">
              <w:t>- spolu diskontované prínosy za obdobie</w:t>
            </w:r>
          </w:p>
        </w:tc>
        <w:tc>
          <w:tcPr>
            <w:tcW w:w="5136" w:type="dxa"/>
            <w:gridSpan w:val="5"/>
            <w:shd w:val="clear" w:color="auto" w:fill="FFFFFF" w:themeFill="background1"/>
          </w:tcPr>
          <w:p w14:paraId="41CD3557" w14:textId="77777777" w:rsidR="00BC0A52" w:rsidRPr="004D1ED1" w:rsidRDefault="00BC0A52" w:rsidP="00DE1BB0"/>
        </w:tc>
      </w:tr>
      <w:tr w:rsidR="00BC0A52" w:rsidRPr="004D1ED1" w14:paraId="3AF50150" w14:textId="77777777" w:rsidTr="003842BF">
        <w:tc>
          <w:tcPr>
            <w:tcW w:w="3926" w:type="dxa"/>
            <w:shd w:val="clear" w:color="auto" w:fill="D9D9D9" w:themeFill="background1" w:themeFillShade="D9"/>
          </w:tcPr>
          <w:p w14:paraId="7DC7F9FE" w14:textId="77777777" w:rsidR="00BC0A52" w:rsidRPr="004D1ED1" w:rsidRDefault="00BC0A52" w:rsidP="00DE1BB0">
            <w:r w:rsidRPr="004D1ED1">
              <w:t>Úspora pohonných hmôt (IAD)</w:t>
            </w:r>
          </w:p>
        </w:tc>
        <w:tc>
          <w:tcPr>
            <w:tcW w:w="5136" w:type="dxa"/>
            <w:gridSpan w:val="5"/>
            <w:shd w:val="clear" w:color="auto" w:fill="D9D9D9" w:themeFill="background1" w:themeFillShade="D9"/>
          </w:tcPr>
          <w:p w14:paraId="7BCE7896" w14:textId="77777777" w:rsidR="00BC0A52" w:rsidRPr="004D1ED1" w:rsidRDefault="00BC0A52" w:rsidP="00DE1BB0"/>
        </w:tc>
      </w:tr>
      <w:tr w:rsidR="00BC0A52" w:rsidRPr="004D1ED1" w14:paraId="3CE930DE" w14:textId="77777777" w:rsidTr="003842BF">
        <w:tc>
          <w:tcPr>
            <w:tcW w:w="3926" w:type="dxa"/>
          </w:tcPr>
          <w:p w14:paraId="6440266A" w14:textId="77777777" w:rsidR="00BC0A52" w:rsidRPr="004D1ED1" w:rsidRDefault="00BC0A52" w:rsidP="00DE1BB0">
            <w:r w:rsidRPr="004D1ED1">
              <w:t>- prostredie</w:t>
            </w:r>
          </w:p>
        </w:tc>
        <w:tc>
          <w:tcPr>
            <w:tcW w:w="1712" w:type="dxa"/>
          </w:tcPr>
          <w:p w14:paraId="0C0E8DDF" w14:textId="77777777" w:rsidR="00BC0A52" w:rsidRPr="004D1ED1" w:rsidRDefault="00BC0A52" w:rsidP="00DE1BB0">
            <w:r w:rsidRPr="004D1ED1">
              <w:t>centrálne</w:t>
            </w:r>
          </w:p>
        </w:tc>
        <w:tc>
          <w:tcPr>
            <w:tcW w:w="1712" w:type="dxa"/>
            <w:gridSpan w:val="2"/>
          </w:tcPr>
          <w:p w14:paraId="256563ED" w14:textId="77777777" w:rsidR="00BC0A52" w:rsidRPr="004D1ED1" w:rsidRDefault="00BC0A52" w:rsidP="00DE1BB0">
            <w:r w:rsidRPr="004D1ED1">
              <w:t>mestské</w:t>
            </w:r>
          </w:p>
        </w:tc>
        <w:tc>
          <w:tcPr>
            <w:tcW w:w="1712" w:type="dxa"/>
            <w:gridSpan w:val="2"/>
          </w:tcPr>
          <w:p w14:paraId="3DB7529D" w14:textId="77777777" w:rsidR="00BC0A52" w:rsidRPr="004D1ED1" w:rsidRDefault="00BC0A52" w:rsidP="00DE1BB0">
            <w:r w:rsidRPr="004D1ED1">
              <w:t>extravilán</w:t>
            </w:r>
          </w:p>
        </w:tc>
      </w:tr>
      <w:tr w:rsidR="00BC0A52" w:rsidRPr="004D1ED1" w14:paraId="20EA0EE6" w14:textId="77777777" w:rsidTr="003842BF">
        <w:tc>
          <w:tcPr>
            <w:tcW w:w="3926" w:type="dxa"/>
          </w:tcPr>
          <w:p w14:paraId="59049AB3" w14:textId="77777777" w:rsidR="00BC0A52" w:rsidRPr="004D1ED1" w:rsidRDefault="00BC0A52" w:rsidP="00DE1BB0">
            <w:r w:rsidRPr="004D1ED1">
              <w:t>- podiel prevedenej IAD podľa prostredia</w:t>
            </w:r>
          </w:p>
        </w:tc>
        <w:tc>
          <w:tcPr>
            <w:tcW w:w="1712" w:type="dxa"/>
          </w:tcPr>
          <w:p w14:paraId="20AFAE01" w14:textId="77777777" w:rsidR="00BC0A52" w:rsidRPr="004D1ED1" w:rsidRDefault="00BC0A52" w:rsidP="00DE1BB0">
            <w:r w:rsidRPr="004D1ED1">
              <w:t>10%</w:t>
            </w:r>
          </w:p>
        </w:tc>
        <w:tc>
          <w:tcPr>
            <w:tcW w:w="1712" w:type="dxa"/>
            <w:gridSpan w:val="2"/>
          </w:tcPr>
          <w:p w14:paraId="0EB32233" w14:textId="77777777" w:rsidR="00BC0A52" w:rsidRPr="004D1ED1" w:rsidRDefault="00BC0A52" w:rsidP="00DE1BB0">
            <w:r w:rsidRPr="004D1ED1">
              <w:t>90%</w:t>
            </w:r>
          </w:p>
        </w:tc>
        <w:tc>
          <w:tcPr>
            <w:tcW w:w="1712" w:type="dxa"/>
            <w:gridSpan w:val="2"/>
          </w:tcPr>
          <w:p w14:paraId="0933BD19" w14:textId="77777777" w:rsidR="00BC0A52" w:rsidRPr="004D1ED1" w:rsidRDefault="00BC0A52" w:rsidP="00DE1BB0">
            <w:r w:rsidRPr="004D1ED1">
              <w:t>0%</w:t>
            </w:r>
          </w:p>
        </w:tc>
      </w:tr>
      <w:tr w:rsidR="00BC0A52" w:rsidRPr="004D1ED1" w14:paraId="01045135" w14:textId="77777777" w:rsidTr="003842BF">
        <w:tc>
          <w:tcPr>
            <w:tcW w:w="3926" w:type="dxa"/>
          </w:tcPr>
          <w:p w14:paraId="4E4A447A" w14:textId="77777777" w:rsidR="00BC0A52" w:rsidRPr="004D1ED1" w:rsidRDefault="00BC0A52" w:rsidP="00DE1BB0">
            <w:r w:rsidRPr="004D1ED1">
              <w:t>- objem prevedenej IAD podľa prostredia</w:t>
            </w:r>
          </w:p>
        </w:tc>
        <w:tc>
          <w:tcPr>
            <w:tcW w:w="1712" w:type="dxa"/>
          </w:tcPr>
          <w:p w14:paraId="1231DBA2" w14:textId="77777777" w:rsidR="00BC0A52" w:rsidRPr="004D1ED1" w:rsidRDefault="00BC0A52" w:rsidP="00DE1BB0">
            <w:r w:rsidRPr="004D1ED1">
              <w:t>1180 km/rok</w:t>
            </w:r>
          </w:p>
        </w:tc>
        <w:tc>
          <w:tcPr>
            <w:tcW w:w="1712" w:type="dxa"/>
            <w:gridSpan w:val="2"/>
          </w:tcPr>
          <w:p w14:paraId="1DC38B21" w14:textId="77777777" w:rsidR="00BC0A52" w:rsidRPr="004D1ED1" w:rsidRDefault="00BC0A52" w:rsidP="00DE1BB0">
            <w:r w:rsidRPr="004D1ED1">
              <w:t>10 692 km/rok</w:t>
            </w:r>
          </w:p>
        </w:tc>
        <w:tc>
          <w:tcPr>
            <w:tcW w:w="1712" w:type="dxa"/>
            <w:gridSpan w:val="2"/>
          </w:tcPr>
          <w:p w14:paraId="71BD2A15" w14:textId="77777777" w:rsidR="00BC0A52" w:rsidRPr="004D1ED1" w:rsidRDefault="00BC0A52" w:rsidP="00DE1BB0">
            <w:r w:rsidRPr="004D1ED1">
              <w:t>0 km/rok</w:t>
            </w:r>
          </w:p>
        </w:tc>
      </w:tr>
      <w:tr w:rsidR="00BC0A52" w:rsidRPr="004D1ED1" w14:paraId="6FB138D7" w14:textId="77777777" w:rsidTr="003842BF">
        <w:tc>
          <w:tcPr>
            <w:tcW w:w="3926" w:type="dxa"/>
          </w:tcPr>
          <w:p w14:paraId="1DAC0F2F" w14:textId="77777777" w:rsidR="00BC0A52" w:rsidRPr="004D1ED1" w:rsidRDefault="00BC0A52" w:rsidP="00DE1BB0">
            <w:r w:rsidRPr="004D1ED1">
              <w:t>- jednotkové prínosy</w:t>
            </w:r>
          </w:p>
        </w:tc>
        <w:tc>
          <w:tcPr>
            <w:tcW w:w="1712" w:type="dxa"/>
          </w:tcPr>
          <w:p w14:paraId="6CCF4900" w14:textId="77777777" w:rsidR="00BC0A52" w:rsidRPr="004D1ED1" w:rsidRDefault="00BC0A52" w:rsidP="00DE1BB0">
            <w:r w:rsidRPr="004D1ED1">
              <w:t>0,0545 €/km</w:t>
            </w:r>
          </w:p>
        </w:tc>
        <w:tc>
          <w:tcPr>
            <w:tcW w:w="1712" w:type="dxa"/>
            <w:gridSpan w:val="2"/>
          </w:tcPr>
          <w:p w14:paraId="673082EA" w14:textId="77777777" w:rsidR="00BC0A52" w:rsidRPr="004D1ED1" w:rsidRDefault="00BC0A52" w:rsidP="00DE1BB0">
            <w:r w:rsidRPr="004D1ED1">
              <w:t>0,0400 €/km</w:t>
            </w:r>
          </w:p>
        </w:tc>
        <w:tc>
          <w:tcPr>
            <w:tcW w:w="1712" w:type="dxa"/>
            <w:gridSpan w:val="2"/>
          </w:tcPr>
          <w:p w14:paraId="4B1B419E" w14:textId="77777777" w:rsidR="00BC0A52" w:rsidRPr="004D1ED1" w:rsidRDefault="00BC0A52" w:rsidP="00DE1BB0">
            <w:r w:rsidRPr="004D1ED1">
              <w:t>0,0315 €/km</w:t>
            </w:r>
          </w:p>
        </w:tc>
      </w:tr>
      <w:tr w:rsidR="00BC0A52" w:rsidRPr="004D1ED1" w14:paraId="30DCC6B7" w14:textId="77777777" w:rsidTr="003842BF">
        <w:tc>
          <w:tcPr>
            <w:tcW w:w="3926" w:type="dxa"/>
          </w:tcPr>
          <w:p w14:paraId="7CDE8644" w14:textId="77777777" w:rsidR="00BC0A52" w:rsidRPr="004D1ED1" w:rsidRDefault="00BC0A52" w:rsidP="00DE1BB0">
            <w:r w:rsidRPr="004D1ED1">
              <w:t>- absolútne prínosy za rok</w:t>
            </w:r>
          </w:p>
        </w:tc>
        <w:tc>
          <w:tcPr>
            <w:tcW w:w="1712" w:type="dxa"/>
          </w:tcPr>
          <w:p w14:paraId="7FD1C9C6" w14:textId="77777777" w:rsidR="00BC0A52" w:rsidRPr="004D1ED1" w:rsidRDefault="00BC0A52" w:rsidP="00DE1BB0">
            <w:r w:rsidRPr="004D1ED1">
              <w:t>64,31 €/rok</w:t>
            </w:r>
          </w:p>
        </w:tc>
        <w:tc>
          <w:tcPr>
            <w:tcW w:w="1712" w:type="dxa"/>
            <w:gridSpan w:val="2"/>
          </w:tcPr>
          <w:p w14:paraId="2E36A080" w14:textId="77777777" w:rsidR="00BC0A52" w:rsidRPr="004D1ED1" w:rsidRDefault="00BC0A52" w:rsidP="00DE1BB0">
            <w:r w:rsidRPr="004D1ED1">
              <w:t>427,68 €/rok</w:t>
            </w:r>
          </w:p>
        </w:tc>
        <w:tc>
          <w:tcPr>
            <w:tcW w:w="1712" w:type="dxa"/>
            <w:gridSpan w:val="2"/>
          </w:tcPr>
          <w:p w14:paraId="00B813D0" w14:textId="77777777" w:rsidR="00BC0A52" w:rsidRPr="004D1ED1" w:rsidRDefault="00BC0A52" w:rsidP="00DE1BB0">
            <w:r w:rsidRPr="004D1ED1">
              <w:t>0 €/rok</w:t>
            </w:r>
          </w:p>
        </w:tc>
      </w:tr>
      <w:tr w:rsidR="00BC0A52" w:rsidRPr="004D1ED1" w14:paraId="16DAF7C6" w14:textId="77777777" w:rsidTr="003842BF">
        <w:tc>
          <w:tcPr>
            <w:tcW w:w="3926" w:type="dxa"/>
          </w:tcPr>
          <w:p w14:paraId="20C01E25" w14:textId="77777777" w:rsidR="00BC0A52" w:rsidRPr="004D1ED1" w:rsidRDefault="00BC0A52" w:rsidP="00DE1BB0">
            <w:r w:rsidRPr="004D1ED1">
              <w:t>- spolu absolútne prínosy za rok</w:t>
            </w:r>
          </w:p>
        </w:tc>
        <w:tc>
          <w:tcPr>
            <w:tcW w:w="5136" w:type="dxa"/>
            <w:gridSpan w:val="5"/>
          </w:tcPr>
          <w:p w14:paraId="0551313F" w14:textId="77777777" w:rsidR="00BC0A52" w:rsidRPr="004D1ED1" w:rsidRDefault="00BC0A52" w:rsidP="00DE1BB0">
            <w:r w:rsidRPr="004D1ED1">
              <w:t>491,99 €</w:t>
            </w:r>
          </w:p>
        </w:tc>
      </w:tr>
      <w:tr w:rsidR="00BC0A52" w:rsidRPr="004D1ED1" w14:paraId="7AA863CA" w14:textId="77777777" w:rsidTr="003842BF">
        <w:tc>
          <w:tcPr>
            <w:tcW w:w="3926" w:type="dxa"/>
          </w:tcPr>
          <w:p w14:paraId="69601366" w14:textId="77777777" w:rsidR="00BC0A52" w:rsidRPr="004D1ED1" w:rsidRDefault="00BC0A52" w:rsidP="00DE1BB0">
            <w:r w:rsidRPr="004D1ED1">
              <w:t>- spolu diskontované prínosy za obdobie</w:t>
            </w:r>
          </w:p>
        </w:tc>
        <w:tc>
          <w:tcPr>
            <w:tcW w:w="5136" w:type="dxa"/>
            <w:gridSpan w:val="5"/>
          </w:tcPr>
          <w:p w14:paraId="25D5158C" w14:textId="77777777" w:rsidR="00BC0A52" w:rsidRPr="004D1ED1" w:rsidRDefault="00BC0A52" w:rsidP="00DE1BB0"/>
        </w:tc>
      </w:tr>
      <w:tr w:rsidR="00BC0A52" w:rsidRPr="004D1ED1" w14:paraId="29B85F82" w14:textId="77777777" w:rsidTr="003842BF">
        <w:tc>
          <w:tcPr>
            <w:tcW w:w="3926" w:type="dxa"/>
            <w:shd w:val="clear" w:color="auto" w:fill="D9D9D9" w:themeFill="background1" w:themeFillShade="D9"/>
          </w:tcPr>
          <w:p w14:paraId="2909249C" w14:textId="77777777" w:rsidR="00BC0A52" w:rsidRPr="004D1ED1" w:rsidRDefault="00BC0A52" w:rsidP="00DE1BB0">
            <w:r w:rsidRPr="004D1ED1">
              <w:t>Úspora prevádzkových nákladov (IAD)</w:t>
            </w:r>
          </w:p>
        </w:tc>
        <w:tc>
          <w:tcPr>
            <w:tcW w:w="5136" w:type="dxa"/>
            <w:gridSpan w:val="5"/>
            <w:shd w:val="clear" w:color="auto" w:fill="D9D9D9" w:themeFill="background1" w:themeFillShade="D9"/>
          </w:tcPr>
          <w:p w14:paraId="5ECE419F" w14:textId="77777777" w:rsidR="00BC0A52" w:rsidRPr="004D1ED1" w:rsidRDefault="00BC0A52" w:rsidP="00DE1BB0"/>
        </w:tc>
      </w:tr>
      <w:tr w:rsidR="00BC0A52" w:rsidRPr="004D1ED1" w14:paraId="09E116DD" w14:textId="77777777" w:rsidTr="003842BF">
        <w:tc>
          <w:tcPr>
            <w:tcW w:w="3926" w:type="dxa"/>
          </w:tcPr>
          <w:p w14:paraId="2134C38A" w14:textId="77777777" w:rsidR="00BC0A52" w:rsidRPr="004D1ED1" w:rsidRDefault="00BC0A52" w:rsidP="00DE1BB0">
            <w:r w:rsidRPr="004D1ED1">
              <w:t>- prostredie</w:t>
            </w:r>
          </w:p>
        </w:tc>
        <w:tc>
          <w:tcPr>
            <w:tcW w:w="1712" w:type="dxa"/>
          </w:tcPr>
          <w:p w14:paraId="003E394A" w14:textId="77777777" w:rsidR="00BC0A52" w:rsidRPr="004D1ED1" w:rsidRDefault="00BC0A52" w:rsidP="00DE1BB0">
            <w:r w:rsidRPr="004D1ED1">
              <w:t>centrálne</w:t>
            </w:r>
          </w:p>
        </w:tc>
        <w:tc>
          <w:tcPr>
            <w:tcW w:w="1712" w:type="dxa"/>
            <w:gridSpan w:val="2"/>
          </w:tcPr>
          <w:p w14:paraId="6E28692D" w14:textId="77777777" w:rsidR="00BC0A52" w:rsidRPr="004D1ED1" w:rsidRDefault="00BC0A52" w:rsidP="00DE1BB0">
            <w:r w:rsidRPr="004D1ED1">
              <w:t>mestské</w:t>
            </w:r>
          </w:p>
        </w:tc>
        <w:tc>
          <w:tcPr>
            <w:tcW w:w="1712" w:type="dxa"/>
            <w:gridSpan w:val="2"/>
          </w:tcPr>
          <w:p w14:paraId="1F57E461" w14:textId="77777777" w:rsidR="00BC0A52" w:rsidRPr="004D1ED1" w:rsidRDefault="00BC0A52" w:rsidP="00DE1BB0">
            <w:r w:rsidRPr="004D1ED1">
              <w:t>extravilán</w:t>
            </w:r>
          </w:p>
        </w:tc>
      </w:tr>
      <w:tr w:rsidR="00BC0A52" w:rsidRPr="004D1ED1" w14:paraId="4F2240C0" w14:textId="77777777" w:rsidTr="003842BF">
        <w:tc>
          <w:tcPr>
            <w:tcW w:w="3926" w:type="dxa"/>
          </w:tcPr>
          <w:p w14:paraId="1B36C38D" w14:textId="77777777" w:rsidR="00BC0A52" w:rsidRPr="004D1ED1" w:rsidRDefault="00BC0A52" w:rsidP="00DE1BB0">
            <w:r w:rsidRPr="004D1ED1">
              <w:t>- jednotkové prínosy (z priemernej dĺžky)</w:t>
            </w:r>
          </w:p>
        </w:tc>
        <w:tc>
          <w:tcPr>
            <w:tcW w:w="1712" w:type="dxa"/>
          </w:tcPr>
          <w:p w14:paraId="1EF8B298" w14:textId="77777777" w:rsidR="00BC0A52" w:rsidRPr="004D1ED1" w:rsidRDefault="00BC0A52" w:rsidP="00DE1BB0">
            <w:r w:rsidRPr="004D1ED1">
              <w:t>0,0434 €/km</w:t>
            </w:r>
          </w:p>
        </w:tc>
        <w:tc>
          <w:tcPr>
            <w:tcW w:w="1712" w:type="dxa"/>
            <w:gridSpan w:val="2"/>
          </w:tcPr>
          <w:p w14:paraId="45E837CD" w14:textId="77777777" w:rsidR="00BC0A52" w:rsidRPr="004D1ED1" w:rsidRDefault="00BC0A52" w:rsidP="00DE1BB0">
            <w:r w:rsidRPr="004D1ED1">
              <w:t>0,0282 €/km</w:t>
            </w:r>
          </w:p>
        </w:tc>
        <w:tc>
          <w:tcPr>
            <w:tcW w:w="1712" w:type="dxa"/>
            <w:gridSpan w:val="2"/>
          </w:tcPr>
          <w:p w14:paraId="78B1915B" w14:textId="77777777" w:rsidR="00BC0A52" w:rsidRPr="004D1ED1" w:rsidRDefault="00BC0A52" w:rsidP="00DE1BB0">
            <w:r w:rsidRPr="004D1ED1">
              <w:t>0,xxx €/km</w:t>
            </w:r>
          </w:p>
        </w:tc>
      </w:tr>
      <w:tr w:rsidR="00BC0A52" w:rsidRPr="004D1ED1" w14:paraId="3578312E" w14:textId="77777777" w:rsidTr="003842BF">
        <w:tc>
          <w:tcPr>
            <w:tcW w:w="3926" w:type="dxa"/>
          </w:tcPr>
          <w:p w14:paraId="701AE6C8" w14:textId="77777777" w:rsidR="00BC0A52" w:rsidRPr="004D1ED1" w:rsidRDefault="00BC0A52" w:rsidP="00DE1BB0">
            <w:r w:rsidRPr="004D1ED1">
              <w:t>- absolútne prínosy za rok</w:t>
            </w:r>
          </w:p>
        </w:tc>
        <w:tc>
          <w:tcPr>
            <w:tcW w:w="1712" w:type="dxa"/>
          </w:tcPr>
          <w:p w14:paraId="5314691C" w14:textId="77777777" w:rsidR="00BC0A52" w:rsidRPr="004D1ED1" w:rsidRDefault="00BC0A52" w:rsidP="00DE1BB0">
            <w:r w:rsidRPr="004D1ED1">
              <w:t>51,21 €/rok</w:t>
            </w:r>
          </w:p>
        </w:tc>
        <w:tc>
          <w:tcPr>
            <w:tcW w:w="1712" w:type="dxa"/>
            <w:gridSpan w:val="2"/>
          </w:tcPr>
          <w:p w14:paraId="51114B16" w14:textId="77777777" w:rsidR="00BC0A52" w:rsidRPr="004D1ED1" w:rsidRDefault="00BC0A52" w:rsidP="00DE1BB0">
            <w:r w:rsidRPr="004D1ED1">
              <w:t>301,51 €/rok</w:t>
            </w:r>
          </w:p>
        </w:tc>
        <w:tc>
          <w:tcPr>
            <w:tcW w:w="1712" w:type="dxa"/>
            <w:gridSpan w:val="2"/>
          </w:tcPr>
          <w:p w14:paraId="1F7A64C2" w14:textId="77777777" w:rsidR="00BC0A52" w:rsidRPr="004D1ED1" w:rsidRDefault="00BC0A52" w:rsidP="00DE1BB0"/>
        </w:tc>
      </w:tr>
      <w:tr w:rsidR="00BC0A52" w:rsidRPr="004D1ED1" w14:paraId="08517C3A" w14:textId="77777777" w:rsidTr="003842BF">
        <w:tc>
          <w:tcPr>
            <w:tcW w:w="3926" w:type="dxa"/>
          </w:tcPr>
          <w:p w14:paraId="5F038F38" w14:textId="77777777" w:rsidR="00BC0A52" w:rsidRPr="004D1ED1" w:rsidRDefault="00BC0A52" w:rsidP="00DE1BB0">
            <w:r w:rsidRPr="004D1ED1">
              <w:t>- spolu absolútne prínosy za rok</w:t>
            </w:r>
          </w:p>
        </w:tc>
        <w:tc>
          <w:tcPr>
            <w:tcW w:w="5136" w:type="dxa"/>
            <w:gridSpan w:val="5"/>
          </w:tcPr>
          <w:p w14:paraId="269A4B8F" w14:textId="77777777" w:rsidR="00BC0A52" w:rsidRPr="004D1ED1" w:rsidRDefault="00BC0A52" w:rsidP="00DE1BB0">
            <w:r w:rsidRPr="004D1ED1">
              <w:t>352,72 €/rok</w:t>
            </w:r>
          </w:p>
        </w:tc>
      </w:tr>
      <w:tr w:rsidR="00BC0A52" w:rsidRPr="004D1ED1" w14:paraId="708880F4" w14:textId="77777777" w:rsidTr="003842BF">
        <w:tc>
          <w:tcPr>
            <w:tcW w:w="3926" w:type="dxa"/>
          </w:tcPr>
          <w:p w14:paraId="3917774A" w14:textId="77777777" w:rsidR="00BC0A52" w:rsidRPr="004D1ED1" w:rsidRDefault="00BC0A52" w:rsidP="00DE1BB0">
            <w:r w:rsidRPr="004D1ED1">
              <w:t>- spolu diskontované prínosy za obdobie</w:t>
            </w:r>
          </w:p>
        </w:tc>
        <w:tc>
          <w:tcPr>
            <w:tcW w:w="5136" w:type="dxa"/>
            <w:gridSpan w:val="5"/>
          </w:tcPr>
          <w:p w14:paraId="544830E4" w14:textId="77777777" w:rsidR="00BC0A52" w:rsidRPr="004D1ED1" w:rsidRDefault="00BC0A52" w:rsidP="00DE1BB0"/>
        </w:tc>
      </w:tr>
      <w:tr w:rsidR="00BC0A52" w:rsidRPr="004D1ED1" w14:paraId="6DD73BEF" w14:textId="77777777" w:rsidTr="003842BF">
        <w:tc>
          <w:tcPr>
            <w:tcW w:w="3926" w:type="dxa"/>
            <w:shd w:val="clear" w:color="auto" w:fill="D9D9D9" w:themeFill="background1" w:themeFillShade="D9"/>
          </w:tcPr>
          <w:p w14:paraId="3FC80095" w14:textId="77777777" w:rsidR="00BC0A52" w:rsidRPr="004D1ED1" w:rsidRDefault="00BC0A52" w:rsidP="00DE1BB0">
            <w:r w:rsidRPr="004D1ED1">
              <w:t>Emisie znečisťujúcich látok (z IAD)</w:t>
            </w:r>
          </w:p>
        </w:tc>
        <w:tc>
          <w:tcPr>
            <w:tcW w:w="5136" w:type="dxa"/>
            <w:gridSpan w:val="5"/>
            <w:shd w:val="clear" w:color="auto" w:fill="D9D9D9" w:themeFill="background1" w:themeFillShade="D9"/>
          </w:tcPr>
          <w:p w14:paraId="76CB3C5A" w14:textId="77777777" w:rsidR="00BC0A52" w:rsidRPr="004D1ED1" w:rsidRDefault="00BC0A52" w:rsidP="00DE1BB0"/>
        </w:tc>
      </w:tr>
      <w:tr w:rsidR="00BC0A52" w:rsidRPr="004D1ED1" w14:paraId="2B408BF4" w14:textId="77777777" w:rsidTr="003842BF">
        <w:tc>
          <w:tcPr>
            <w:tcW w:w="3926" w:type="dxa"/>
          </w:tcPr>
          <w:p w14:paraId="752327BF" w14:textId="77777777" w:rsidR="00BC0A52" w:rsidRPr="004D1ED1" w:rsidRDefault="00BC0A52" w:rsidP="00DE1BB0">
            <w:r w:rsidRPr="004D1ED1">
              <w:t>- prostredie</w:t>
            </w:r>
          </w:p>
        </w:tc>
        <w:tc>
          <w:tcPr>
            <w:tcW w:w="1712" w:type="dxa"/>
          </w:tcPr>
          <w:p w14:paraId="60B8C831" w14:textId="77777777" w:rsidR="00BC0A52" w:rsidRPr="004D1ED1" w:rsidRDefault="00BC0A52" w:rsidP="00DE1BB0">
            <w:r w:rsidRPr="004D1ED1">
              <w:t>centrálne</w:t>
            </w:r>
          </w:p>
        </w:tc>
        <w:tc>
          <w:tcPr>
            <w:tcW w:w="1712" w:type="dxa"/>
            <w:gridSpan w:val="2"/>
          </w:tcPr>
          <w:p w14:paraId="2BE4D8BE" w14:textId="77777777" w:rsidR="00BC0A52" w:rsidRPr="004D1ED1" w:rsidRDefault="00BC0A52" w:rsidP="00DE1BB0">
            <w:r w:rsidRPr="004D1ED1">
              <w:t>mestské</w:t>
            </w:r>
          </w:p>
        </w:tc>
        <w:tc>
          <w:tcPr>
            <w:tcW w:w="1712" w:type="dxa"/>
            <w:gridSpan w:val="2"/>
          </w:tcPr>
          <w:p w14:paraId="055BBBCE" w14:textId="77777777" w:rsidR="00BC0A52" w:rsidRPr="004D1ED1" w:rsidRDefault="00BC0A52" w:rsidP="00DE1BB0">
            <w:r w:rsidRPr="004D1ED1">
              <w:t>extravilán</w:t>
            </w:r>
          </w:p>
        </w:tc>
      </w:tr>
      <w:tr w:rsidR="00BC0A52" w:rsidRPr="004D1ED1" w14:paraId="242388C9" w14:textId="77777777" w:rsidTr="003842BF">
        <w:tc>
          <w:tcPr>
            <w:tcW w:w="3926" w:type="dxa"/>
          </w:tcPr>
          <w:p w14:paraId="6645D95E" w14:textId="77777777" w:rsidR="00BC0A52" w:rsidRPr="004D1ED1" w:rsidRDefault="00BC0A52" w:rsidP="00DE1BB0">
            <w:r w:rsidRPr="004D1ED1">
              <w:t>- jednotkové prínosy</w:t>
            </w:r>
          </w:p>
        </w:tc>
        <w:tc>
          <w:tcPr>
            <w:tcW w:w="1712" w:type="dxa"/>
          </w:tcPr>
          <w:p w14:paraId="20B0E12A" w14:textId="77777777" w:rsidR="00BC0A52" w:rsidRPr="004D1ED1" w:rsidRDefault="00BC0A52" w:rsidP="00DE1BB0">
            <w:r w:rsidRPr="004D1ED1">
              <w:t>0,01075 €/km</w:t>
            </w:r>
          </w:p>
        </w:tc>
        <w:tc>
          <w:tcPr>
            <w:tcW w:w="1712" w:type="dxa"/>
            <w:gridSpan w:val="2"/>
          </w:tcPr>
          <w:p w14:paraId="3CBABEF5" w14:textId="77777777" w:rsidR="00BC0A52" w:rsidRPr="004D1ED1" w:rsidRDefault="00BC0A52" w:rsidP="00DE1BB0">
            <w:r w:rsidRPr="004D1ED1">
              <w:t>0,00465 €/km</w:t>
            </w:r>
          </w:p>
        </w:tc>
        <w:tc>
          <w:tcPr>
            <w:tcW w:w="1712" w:type="dxa"/>
            <w:gridSpan w:val="2"/>
          </w:tcPr>
          <w:p w14:paraId="633C8768" w14:textId="77777777" w:rsidR="00BC0A52" w:rsidRPr="004D1ED1" w:rsidRDefault="00BC0A52" w:rsidP="00DE1BB0">
            <w:r w:rsidRPr="004D1ED1">
              <w:t>0,00365 €/km</w:t>
            </w:r>
          </w:p>
        </w:tc>
      </w:tr>
      <w:tr w:rsidR="00BC0A52" w:rsidRPr="004D1ED1" w14:paraId="0E451BD2" w14:textId="77777777" w:rsidTr="003842BF">
        <w:tc>
          <w:tcPr>
            <w:tcW w:w="3926" w:type="dxa"/>
          </w:tcPr>
          <w:p w14:paraId="02433EFF" w14:textId="77777777" w:rsidR="00BC0A52" w:rsidRPr="004D1ED1" w:rsidRDefault="00BC0A52" w:rsidP="00DE1BB0">
            <w:r w:rsidRPr="004D1ED1">
              <w:t>- absolútne prínosy za rok</w:t>
            </w:r>
          </w:p>
        </w:tc>
        <w:tc>
          <w:tcPr>
            <w:tcW w:w="1712" w:type="dxa"/>
          </w:tcPr>
          <w:p w14:paraId="68D4640C" w14:textId="77777777" w:rsidR="00BC0A52" w:rsidRPr="004D1ED1" w:rsidRDefault="00BC0A52" w:rsidP="00DE1BB0">
            <w:r w:rsidRPr="004D1ED1">
              <w:t>12,685 €/rok</w:t>
            </w:r>
          </w:p>
        </w:tc>
        <w:tc>
          <w:tcPr>
            <w:tcW w:w="1712" w:type="dxa"/>
            <w:gridSpan w:val="2"/>
          </w:tcPr>
          <w:p w14:paraId="370F0F08" w14:textId="77777777" w:rsidR="00BC0A52" w:rsidRPr="004D1ED1" w:rsidRDefault="00BC0A52" w:rsidP="00DE1BB0">
            <w:r w:rsidRPr="004D1ED1">
              <w:t>49,72 €/rok</w:t>
            </w:r>
          </w:p>
        </w:tc>
        <w:tc>
          <w:tcPr>
            <w:tcW w:w="1712" w:type="dxa"/>
            <w:gridSpan w:val="2"/>
          </w:tcPr>
          <w:p w14:paraId="57C07B40" w14:textId="77777777" w:rsidR="00BC0A52" w:rsidRPr="004D1ED1" w:rsidRDefault="00BC0A52" w:rsidP="00DE1BB0"/>
        </w:tc>
      </w:tr>
      <w:tr w:rsidR="00BC0A52" w:rsidRPr="004D1ED1" w14:paraId="698FF87D" w14:textId="77777777" w:rsidTr="003842BF">
        <w:tc>
          <w:tcPr>
            <w:tcW w:w="3926" w:type="dxa"/>
          </w:tcPr>
          <w:p w14:paraId="0C490B67" w14:textId="77777777" w:rsidR="00BC0A52" w:rsidRPr="004D1ED1" w:rsidRDefault="00BC0A52" w:rsidP="00DE1BB0">
            <w:r w:rsidRPr="004D1ED1">
              <w:lastRenderedPageBreak/>
              <w:t>- spolu absolútne prínosy za rok</w:t>
            </w:r>
          </w:p>
        </w:tc>
        <w:tc>
          <w:tcPr>
            <w:tcW w:w="5136" w:type="dxa"/>
            <w:gridSpan w:val="5"/>
          </w:tcPr>
          <w:p w14:paraId="6947262A" w14:textId="77777777" w:rsidR="00BC0A52" w:rsidRPr="004D1ED1" w:rsidRDefault="00BC0A52" w:rsidP="00DE1BB0">
            <w:r w:rsidRPr="004D1ED1">
              <w:t>62,40 €/rok</w:t>
            </w:r>
          </w:p>
        </w:tc>
      </w:tr>
      <w:tr w:rsidR="00BC0A52" w:rsidRPr="004D1ED1" w14:paraId="52FA11B0" w14:textId="77777777" w:rsidTr="003842BF">
        <w:tc>
          <w:tcPr>
            <w:tcW w:w="3926" w:type="dxa"/>
          </w:tcPr>
          <w:p w14:paraId="533CCE71" w14:textId="77777777" w:rsidR="00BC0A52" w:rsidRPr="004D1ED1" w:rsidRDefault="00BC0A52" w:rsidP="00DE1BB0">
            <w:r w:rsidRPr="004D1ED1">
              <w:t>- spolu diskontované prínosy za obdobie</w:t>
            </w:r>
          </w:p>
        </w:tc>
        <w:tc>
          <w:tcPr>
            <w:tcW w:w="5136" w:type="dxa"/>
            <w:gridSpan w:val="5"/>
          </w:tcPr>
          <w:p w14:paraId="5EC8A8A1" w14:textId="77777777" w:rsidR="00BC0A52" w:rsidRPr="004D1ED1" w:rsidRDefault="00BC0A52" w:rsidP="00DE1BB0"/>
        </w:tc>
      </w:tr>
      <w:tr w:rsidR="00BC0A52" w:rsidRPr="004D1ED1" w14:paraId="463920CF" w14:textId="77777777" w:rsidTr="003842BF">
        <w:tc>
          <w:tcPr>
            <w:tcW w:w="3926" w:type="dxa"/>
            <w:shd w:val="clear" w:color="auto" w:fill="D9D9D9" w:themeFill="background1" w:themeFillShade="D9"/>
          </w:tcPr>
          <w:p w14:paraId="5E8567AD" w14:textId="77777777" w:rsidR="00BC0A52" w:rsidRPr="004D1ED1" w:rsidRDefault="00BC0A52" w:rsidP="00DE1BB0">
            <w:r w:rsidRPr="004D1ED1">
              <w:t>Emisie skleníkových plynov (z IAD)</w:t>
            </w:r>
          </w:p>
        </w:tc>
        <w:tc>
          <w:tcPr>
            <w:tcW w:w="5136" w:type="dxa"/>
            <w:gridSpan w:val="5"/>
            <w:shd w:val="clear" w:color="auto" w:fill="D9D9D9" w:themeFill="background1" w:themeFillShade="D9"/>
          </w:tcPr>
          <w:p w14:paraId="3EE7306A" w14:textId="77777777" w:rsidR="00BC0A52" w:rsidRPr="004D1ED1" w:rsidRDefault="00BC0A52" w:rsidP="00DE1BB0"/>
        </w:tc>
      </w:tr>
      <w:tr w:rsidR="00BC0A52" w:rsidRPr="004D1ED1" w14:paraId="0CD51FD0" w14:textId="77777777" w:rsidTr="003842BF">
        <w:tc>
          <w:tcPr>
            <w:tcW w:w="3926" w:type="dxa"/>
          </w:tcPr>
          <w:p w14:paraId="18AC77EC" w14:textId="77777777" w:rsidR="00BC0A52" w:rsidRPr="004D1ED1" w:rsidRDefault="00BC0A52" w:rsidP="00DE1BB0">
            <w:r w:rsidRPr="004D1ED1">
              <w:t>- prostredie</w:t>
            </w:r>
          </w:p>
        </w:tc>
        <w:tc>
          <w:tcPr>
            <w:tcW w:w="1712" w:type="dxa"/>
          </w:tcPr>
          <w:p w14:paraId="2B816098" w14:textId="77777777" w:rsidR="00BC0A52" w:rsidRPr="004D1ED1" w:rsidRDefault="00BC0A52" w:rsidP="00DE1BB0">
            <w:r w:rsidRPr="004D1ED1">
              <w:t>centrálne</w:t>
            </w:r>
          </w:p>
        </w:tc>
        <w:tc>
          <w:tcPr>
            <w:tcW w:w="1712" w:type="dxa"/>
            <w:gridSpan w:val="2"/>
          </w:tcPr>
          <w:p w14:paraId="1D63621D" w14:textId="77777777" w:rsidR="00BC0A52" w:rsidRPr="004D1ED1" w:rsidRDefault="00BC0A52" w:rsidP="00DE1BB0">
            <w:r w:rsidRPr="004D1ED1">
              <w:t>mestské</w:t>
            </w:r>
          </w:p>
        </w:tc>
        <w:tc>
          <w:tcPr>
            <w:tcW w:w="1712" w:type="dxa"/>
            <w:gridSpan w:val="2"/>
          </w:tcPr>
          <w:p w14:paraId="08B7C389" w14:textId="77777777" w:rsidR="00BC0A52" w:rsidRPr="004D1ED1" w:rsidRDefault="00BC0A52" w:rsidP="00DE1BB0">
            <w:r w:rsidRPr="004D1ED1">
              <w:t>extravilán</w:t>
            </w:r>
          </w:p>
        </w:tc>
      </w:tr>
      <w:tr w:rsidR="00BC0A52" w:rsidRPr="004D1ED1" w14:paraId="4E236B65" w14:textId="77777777" w:rsidTr="003842BF">
        <w:tc>
          <w:tcPr>
            <w:tcW w:w="3926" w:type="dxa"/>
          </w:tcPr>
          <w:p w14:paraId="67321526" w14:textId="77777777" w:rsidR="00BC0A52" w:rsidRPr="004D1ED1" w:rsidRDefault="00BC0A52" w:rsidP="00DE1BB0">
            <w:r w:rsidRPr="004D1ED1">
              <w:t>- jednotkové prínosy</w:t>
            </w:r>
          </w:p>
        </w:tc>
        <w:tc>
          <w:tcPr>
            <w:tcW w:w="1712" w:type="dxa"/>
          </w:tcPr>
          <w:p w14:paraId="0762418D" w14:textId="77777777" w:rsidR="00BC0A52" w:rsidRPr="004D1ED1" w:rsidRDefault="00BC0A52" w:rsidP="00DE1BB0">
            <w:r w:rsidRPr="004D1ED1">
              <w:t>0,00697 €/km</w:t>
            </w:r>
          </w:p>
        </w:tc>
        <w:tc>
          <w:tcPr>
            <w:tcW w:w="1712" w:type="dxa"/>
            <w:gridSpan w:val="2"/>
          </w:tcPr>
          <w:p w14:paraId="5F798388" w14:textId="77777777" w:rsidR="00BC0A52" w:rsidRPr="004D1ED1" w:rsidRDefault="00BC0A52" w:rsidP="00DE1BB0">
            <w:r w:rsidRPr="004D1ED1">
              <w:t>0,00512 €/km</w:t>
            </w:r>
          </w:p>
        </w:tc>
        <w:tc>
          <w:tcPr>
            <w:tcW w:w="1712" w:type="dxa"/>
            <w:gridSpan w:val="2"/>
          </w:tcPr>
          <w:p w14:paraId="53B7D2EB" w14:textId="77777777" w:rsidR="00BC0A52" w:rsidRPr="004D1ED1" w:rsidRDefault="00BC0A52" w:rsidP="00DE1BB0">
            <w:r w:rsidRPr="004D1ED1">
              <w:t>0,00404 €/km</w:t>
            </w:r>
          </w:p>
        </w:tc>
      </w:tr>
      <w:tr w:rsidR="00BC0A52" w:rsidRPr="004D1ED1" w14:paraId="760F81DC" w14:textId="77777777" w:rsidTr="003842BF">
        <w:tc>
          <w:tcPr>
            <w:tcW w:w="3926" w:type="dxa"/>
          </w:tcPr>
          <w:p w14:paraId="3FDBDC5B" w14:textId="77777777" w:rsidR="00BC0A52" w:rsidRPr="004D1ED1" w:rsidRDefault="00BC0A52" w:rsidP="00DE1BB0">
            <w:r w:rsidRPr="004D1ED1">
              <w:t>- absolútne prínosy za rok</w:t>
            </w:r>
          </w:p>
        </w:tc>
        <w:tc>
          <w:tcPr>
            <w:tcW w:w="1712" w:type="dxa"/>
          </w:tcPr>
          <w:p w14:paraId="70A160A7" w14:textId="77777777" w:rsidR="00BC0A52" w:rsidRPr="004D1ED1" w:rsidRDefault="00BC0A52" w:rsidP="00DE1BB0">
            <w:r w:rsidRPr="004D1ED1">
              <w:t>8,225 €/rok</w:t>
            </w:r>
          </w:p>
        </w:tc>
        <w:tc>
          <w:tcPr>
            <w:tcW w:w="1712" w:type="dxa"/>
            <w:gridSpan w:val="2"/>
          </w:tcPr>
          <w:p w14:paraId="7A05DF73" w14:textId="77777777" w:rsidR="00BC0A52" w:rsidRPr="004D1ED1" w:rsidRDefault="00BC0A52" w:rsidP="00DE1BB0">
            <w:r w:rsidRPr="004D1ED1">
              <w:t>54,74 €/rok</w:t>
            </w:r>
          </w:p>
        </w:tc>
        <w:tc>
          <w:tcPr>
            <w:tcW w:w="1712" w:type="dxa"/>
            <w:gridSpan w:val="2"/>
          </w:tcPr>
          <w:p w14:paraId="4E5A377C" w14:textId="77777777" w:rsidR="00BC0A52" w:rsidRPr="004D1ED1" w:rsidRDefault="00BC0A52" w:rsidP="00DE1BB0"/>
        </w:tc>
      </w:tr>
      <w:tr w:rsidR="00BC0A52" w:rsidRPr="004D1ED1" w14:paraId="38B6A5A9" w14:textId="77777777" w:rsidTr="003842BF">
        <w:tc>
          <w:tcPr>
            <w:tcW w:w="3926" w:type="dxa"/>
          </w:tcPr>
          <w:p w14:paraId="4BF5D1C1" w14:textId="77777777" w:rsidR="00BC0A52" w:rsidRPr="004D1ED1" w:rsidRDefault="00BC0A52" w:rsidP="00DE1BB0">
            <w:r w:rsidRPr="004D1ED1">
              <w:t>- spolu absolútne prínosy za rok</w:t>
            </w:r>
          </w:p>
        </w:tc>
        <w:tc>
          <w:tcPr>
            <w:tcW w:w="5136" w:type="dxa"/>
            <w:gridSpan w:val="5"/>
          </w:tcPr>
          <w:p w14:paraId="307CA445" w14:textId="77777777" w:rsidR="00BC0A52" w:rsidRPr="004D1ED1" w:rsidRDefault="00BC0A52" w:rsidP="00DE1BB0">
            <w:r w:rsidRPr="004D1ED1">
              <w:t>62,97 €/rok</w:t>
            </w:r>
          </w:p>
        </w:tc>
      </w:tr>
      <w:tr w:rsidR="00BC0A52" w:rsidRPr="004D1ED1" w14:paraId="077DAF95" w14:textId="77777777" w:rsidTr="003842BF">
        <w:tc>
          <w:tcPr>
            <w:tcW w:w="3926" w:type="dxa"/>
          </w:tcPr>
          <w:p w14:paraId="51FE1FE2" w14:textId="77777777" w:rsidR="00BC0A52" w:rsidRPr="004D1ED1" w:rsidRDefault="00BC0A52" w:rsidP="00DE1BB0">
            <w:r w:rsidRPr="004D1ED1">
              <w:t>- spolu diskontované prínosy za obdobie</w:t>
            </w:r>
          </w:p>
        </w:tc>
        <w:tc>
          <w:tcPr>
            <w:tcW w:w="5136" w:type="dxa"/>
            <w:gridSpan w:val="5"/>
          </w:tcPr>
          <w:p w14:paraId="1D19F2A0" w14:textId="77777777" w:rsidR="00BC0A52" w:rsidRPr="004D1ED1" w:rsidRDefault="00BC0A52" w:rsidP="00DE1BB0"/>
        </w:tc>
      </w:tr>
      <w:tr w:rsidR="00BC0A52" w:rsidRPr="004D1ED1" w14:paraId="6563C291" w14:textId="77777777" w:rsidTr="003842BF">
        <w:tc>
          <w:tcPr>
            <w:tcW w:w="3926" w:type="dxa"/>
            <w:shd w:val="clear" w:color="auto" w:fill="D9D9D9" w:themeFill="background1" w:themeFillShade="D9"/>
          </w:tcPr>
          <w:p w14:paraId="7BC5973B" w14:textId="77777777" w:rsidR="00BC0A52" w:rsidRPr="004D1ED1" w:rsidRDefault="00BC0A52" w:rsidP="00DE1BB0">
            <w:r w:rsidRPr="004D1ED1">
              <w:t>Hluk</w:t>
            </w:r>
          </w:p>
        </w:tc>
        <w:tc>
          <w:tcPr>
            <w:tcW w:w="5136" w:type="dxa"/>
            <w:gridSpan w:val="5"/>
            <w:shd w:val="clear" w:color="auto" w:fill="D9D9D9" w:themeFill="background1" w:themeFillShade="D9"/>
          </w:tcPr>
          <w:p w14:paraId="6647A3CC" w14:textId="77777777" w:rsidR="00BC0A52" w:rsidRPr="004D1ED1" w:rsidRDefault="00BC0A52" w:rsidP="00DE1BB0"/>
        </w:tc>
      </w:tr>
      <w:tr w:rsidR="00BC0A52" w:rsidRPr="004D1ED1" w14:paraId="33008E7D" w14:textId="77777777" w:rsidTr="003842BF">
        <w:tc>
          <w:tcPr>
            <w:tcW w:w="3926" w:type="dxa"/>
          </w:tcPr>
          <w:p w14:paraId="3F2C1F60" w14:textId="77777777" w:rsidR="00BC0A52" w:rsidRPr="004D1ED1" w:rsidRDefault="00BC0A52" w:rsidP="00DE1BB0">
            <w:r w:rsidRPr="004D1ED1">
              <w:t>- prostredie</w:t>
            </w:r>
          </w:p>
        </w:tc>
        <w:tc>
          <w:tcPr>
            <w:tcW w:w="1712" w:type="dxa"/>
          </w:tcPr>
          <w:p w14:paraId="1ABC7287" w14:textId="77777777" w:rsidR="00BC0A52" w:rsidRPr="004D1ED1" w:rsidRDefault="00BC0A52" w:rsidP="00DE1BB0">
            <w:r w:rsidRPr="004D1ED1">
              <w:t>centrálne</w:t>
            </w:r>
          </w:p>
        </w:tc>
        <w:tc>
          <w:tcPr>
            <w:tcW w:w="1712" w:type="dxa"/>
            <w:gridSpan w:val="2"/>
          </w:tcPr>
          <w:p w14:paraId="4A8277EA" w14:textId="77777777" w:rsidR="00BC0A52" w:rsidRPr="004D1ED1" w:rsidRDefault="00BC0A52" w:rsidP="00DE1BB0">
            <w:r w:rsidRPr="004D1ED1">
              <w:t>mestské</w:t>
            </w:r>
          </w:p>
        </w:tc>
        <w:tc>
          <w:tcPr>
            <w:tcW w:w="1712" w:type="dxa"/>
            <w:gridSpan w:val="2"/>
          </w:tcPr>
          <w:p w14:paraId="0A3F21CE" w14:textId="77777777" w:rsidR="00BC0A52" w:rsidRPr="004D1ED1" w:rsidRDefault="00BC0A52" w:rsidP="00DE1BB0">
            <w:r w:rsidRPr="004D1ED1">
              <w:t>extravilán</w:t>
            </w:r>
          </w:p>
        </w:tc>
      </w:tr>
      <w:tr w:rsidR="00BC0A52" w:rsidRPr="004D1ED1" w14:paraId="1A1A8219" w14:textId="77777777" w:rsidTr="003842BF">
        <w:tc>
          <w:tcPr>
            <w:tcW w:w="3926" w:type="dxa"/>
          </w:tcPr>
          <w:p w14:paraId="37672328" w14:textId="77777777" w:rsidR="00BC0A52" w:rsidRPr="004D1ED1" w:rsidRDefault="00BC0A52" w:rsidP="00DE1BB0">
            <w:r w:rsidRPr="004D1ED1">
              <w:t>- jednotkové prínosy</w:t>
            </w:r>
          </w:p>
        </w:tc>
        <w:tc>
          <w:tcPr>
            <w:tcW w:w="1712" w:type="dxa"/>
          </w:tcPr>
          <w:p w14:paraId="0ABC95E5" w14:textId="77777777" w:rsidR="00BC0A52" w:rsidRPr="004D1ED1" w:rsidRDefault="00BC0A52" w:rsidP="00DE1BB0">
            <w:r w:rsidRPr="004D1ED1">
              <w:t>0,014 €/km</w:t>
            </w:r>
          </w:p>
        </w:tc>
        <w:tc>
          <w:tcPr>
            <w:tcW w:w="1712" w:type="dxa"/>
            <w:gridSpan w:val="2"/>
          </w:tcPr>
          <w:p w14:paraId="7FCF15EE" w14:textId="77777777" w:rsidR="00BC0A52" w:rsidRPr="004D1ED1" w:rsidRDefault="00BC0A52" w:rsidP="00DE1BB0">
            <w:r w:rsidRPr="004D1ED1">
              <w:t>0,009 €/km</w:t>
            </w:r>
          </w:p>
        </w:tc>
        <w:tc>
          <w:tcPr>
            <w:tcW w:w="1712" w:type="dxa"/>
            <w:gridSpan w:val="2"/>
          </w:tcPr>
          <w:p w14:paraId="46893DF4" w14:textId="77777777" w:rsidR="00BC0A52" w:rsidRPr="004D1ED1" w:rsidRDefault="00BC0A52" w:rsidP="00DE1BB0">
            <w:r w:rsidRPr="004D1ED1">
              <w:t>0,000 €/km</w:t>
            </w:r>
          </w:p>
        </w:tc>
      </w:tr>
      <w:tr w:rsidR="00BC0A52" w:rsidRPr="004D1ED1" w14:paraId="68322FA7" w14:textId="77777777" w:rsidTr="003842BF">
        <w:tc>
          <w:tcPr>
            <w:tcW w:w="3926" w:type="dxa"/>
          </w:tcPr>
          <w:p w14:paraId="05FDC55D" w14:textId="77777777" w:rsidR="00BC0A52" w:rsidRPr="004D1ED1" w:rsidRDefault="00BC0A52" w:rsidP="00DE1BB0">
            <w:r w:rsidRPr="004D1ED1">
              <w:t>- absolútne prínosy za rok</w:t>
            </w:r>
          </w:p>
        </w:tc>
        <w:tc>
          <w:tcPr>
            <w:tcW w:w="1712" w:type="dxa"/>
          </w:tcPr>
          <w:p w14:paraId="738930D0" w14:textId="77777777" w:rsidR="00BC0A52" w:rsidRPr="004D1ED1" w:rsidRDefault="00BC0A52" w:rsidP="00DE1BB0">
            <w:r w:rsidRPr="004D1ED1">
              <w:t>16,52 €/rok</w:t>
            </w:r>
          </w:p>
        </w:tc>
        <w:tc>
          <w:tcPr>
            <w:tcW w:w="1712" w:type="dxa"/>
            <w:gridSpan w:val="2"/>
          </w:tcPr>
          <w:p w14:paraId="712285F5" w14:textId="77777777" w:rsidR="00BC0A52" w:rsidRPr="004D1ED1" w:rsidRDefault="00BC0A52" w:rsidP="00DE1BB0">
            <w:r w:rsidRPr="004D1ED1">
              <w:t>96,23 €/rok</w:t>
            </w:r>
          </w:p>
        </w:tc>
        <w:tc>
          <w:tcPr>
            <w:tcW w:w="1712" w:type="dxa"/>
            <w:gridSpan w:val="2"/>
          </w:tcPr>
          <w:p w14:paraId="547A0582" w14:textId="77777777" w:rsidR="00BC0A52" w:rsidRPr="004D1ED1" w:rsidRDefault="00BC0A52" w:rsidP="00DE1BB0"/>
        </w:tc>
      </w:tr>
      <w:tr w:rsidR="00BC0A52" w:rsidRPr="004D1ED1" w14:paraId="5F105BE2" w14:textId="77777777" w:rsidTr="003842BF">
        <w:tc>
          <w:tcPr>
            <w:tcW w:w="3926" w:type="dxa"/>
          </w:tcPr>
          <w:p w14:paraId="685B1B4B" w14:textId="77777777" w:rsidR="00BC0A52" w:rsidRPr="004D1ED1" w:rsidRDefault="00BC0A52" w:rsidP="00DE1BB0">
            <w:r w:rsidRPr="004D1ED1">
              <w:t>- spolu absolútne prínosy za rok</w:t>
            </w:r>
          </w:p>
        </w:tc>
        <w:tc>
          <w:tcPr>
            <w:tcW w:w="5136" w:type="dxa"/>
            <w:gridSpan w:val="5"/>
          </w:tcPr>
          <w:p w14:paraId="0A32EF3B" w14:textId="77777777" w:rsidR="00BC0A52" w:rsidRPr="004D1ED1" w:rsidRDefault="00BC0A52" w:rsidP="00DE1BB0">
            <w:r w:rsidRPr="004D1ED1">
              <w:t>112,75 €/rok</w:t>
            </w:r>
          </w:p>
        </w:tc>
      </w:tr>
      <w:tr w:rsidR="00BC0A52" w:rsidRPr="004D1ED1" w14:paraId="74DBA3AC" w14:textId="77777777" w:rsidTr="003842BF">
        <w:tc>
          <w:tcPr>
            <w:tcW w:w="3926" w:type="dxa"/>
          </w:tcPr>
          <w:p w14:paraId="11A1E8D0" w14:textId="77777777" w:rsidR="00BC0A52" w:rsidRPr="004D1ED1" w:rsidRDefault="00BC0A52" w:rsidP="00DE1BB0">
            <w:r w:rsidRPr="004D1ED1">
              <w:t>- spolu diskontované prínosy za obdobie</w:t>
            </w:r>
          </w:p>
        </w:tc>
        <w:tc>
          <w:tcPr>
            <w:tcW w:w="5136" w:type="dxa"/>
            <w:gridSpan w:val="5"/>
          </w:tcPr>
          <w:p w14:paraId="0B6D22C5" w14:textId="77777777" w:rsidR="00BC0A52" w:rsidRPr="004D1ED1" w:rsidRDefault="00BC0A52" w:rsidP="00DE1BB0"/>
        </w:tc>
      </w:tr>
      <w:tr w:rsidR="00BC0A52" w:rsidRPr="004D1ED1" w14:paraId="3B963FD4" w14:textId="77777777" w:rsidTr="003842BF">
        <w:tc>
          <w:tcPr>
            <w:tcW w:w="3926" w:type="dxa"/>
            <w:shd w:val="clear" w:color="auto" w:fill="D9D9D9" w:themeFill="background1" w:themeFillShade="D9"/>
          </w:tcPr>
          <w:p w14:paraId="292301F6" w14:textId="77777777" w:rsidR="00BC0A52" w:rsidRPr="004D1ED1" w:rsidRDefault="00BC0A52" w:rsidP="00DE1BB0">
            <w:r w:rsidRPr="004D1ED1">
              <w:t>Nehodovosť</w:t>
            </w:r>
          </w:p>
        </w:tc>
        <w:tc>
          <w:tcPr>
            <w:tcW w:w="5136" w:type="dxa"/>
            <w:gridSpan w:val="5"/>
            <w:shd w:val="clear" w:color="auto" w:fill="D9D9D9" w:themeFill="background1" w:themeFillShade="D9"/>
          </w:tcPr>
          <w:p w14:paraId="3F0EF33D" w14:textId="77777777" w:rsidR="00BC0A52" w:rsidRPr="004D1ED1" w:rsidRDefault="00BC0A52" w:rsidP="00DE1BB0"/>
        </w:tc>
      </w:tr>
      <w:tr w:rsidR="00BC0A52" w:rsidRPr="004D1ED1" w14:paraId="6172F69C" w14:textId="77777777" w:rsidTr="003842BF">
        <w:tc>
          <w:tcPr>
            <w:tcW w:w="3926" w:type="dxa"/>
          </w:tcPr>
          <w:p w14:paraId="0E1B8B99" w14:textId="77777777" w:rsidR="00BC0A52" w:rsidRPr="004D1ED1" w:rsidRDefault="00BC0A52" w:rsidP="00DE1BB0">
            <w:r w:rsidRPr="004D1ED1">
              <w:t>- výpočtová dĺžka segregovaných trás</w:t>
            </w:r>
          </w:p>
        </w:tc>
        <w:tc>
          <w:tcPr>
            <w:tcW w:w="5136" w:type="dxa"/>
            <w:gridSpan w:val="5"/>
          </w:tcPr>
          <w:p w14:paraId="51C72F6B" w14:textId="77777777" w:rsidR="00BC0A52" w:rsidRPr="004D1ED1" w:rsidRDefault="00BC0A52" w:rsidP="00DE1BB0">
            <w:r w:rsidRPr="004D1ED1">
              <w:t>max 50% z 2,7 km = 1,35 km (polovica priemernej dĺžky)</w:t>
            </w:r>
          </w:p>
        </w:tc>
      </w:tr>
      <w:tr w:rsidR="00BC0A52" w:rsidRPr="004D1ED1" w14:paraId="41F7FA97" w14:textId="77777777" w:rsidTr="003842BF">
        <w:tc>
          <w:tcPr>
            <w:tcW w:w="3926" w:type="dxa"/>
          </w:tcPr>
          <w:p w14:paraId="126B973D" w14:textId="77777777" w:rsidR="00BC0A52" w:rsidRPr="004D1ED1" w:rsidRDefault="00BC0A52" w:rsidP="00DE1BB0">
            <w:r w:rsidRPr="004D1ED1">
              <w:t>- výpočtová dĺžka segregovaných úsekov</w:t>
            </w:r>
          </w:p>
        </w:tc>
        <w:tc>
          <w:tcPr>
            <w:tcW w:w="5136" w:type="dxa"/>
            <w:gridSpan w:val="5"/>
          </w:tcPr>
          <w:p w14:paraId="4495CD76" w14:textId="77777777" w:rsidR="00BC0A52" w:rsidRPr="004D1ED1" w:rsidRDefault="00BC0A52" w:rsidP="00DE1BB0">
            <w:r w:rsidRPr="004D1ED1">
              <w:t>max 50% z 1,8 km = 0,9 km</w:t>
            </w:r>
          </w:p>
        </w:tc>
      </w:tr>
      <w:tr w:rsidR="00BC0A52" w:rsidRPr="004D1ED1" w14:paraId="0C37E8E0" w14:textId="77777777" w:rsidTr="003842BF">
        <w:tc>
          <w:tcPr>
            <w:tcW w:w="3926" w:type="dxa"/>
          </w:tcPr>
          <w:p w14:paraId="61553AB6" w14:textId="77777777" w:rsidR="00BC0A52" w:rsidRPr="004D1ED1" w:rsidRDefault="00BC0A52" w:rsidP="00DE1BB0">
            <w:r w:rsidRPr="004D1ED1">
              <w:t>- objem segregovaných výkonov IAD</w:t>
            </w:r>
          </w:p>
        </w:tc>
        <w:tc>
          <w:tcPr>
            <w:tcW w:w="5136" w:type="dxa"/>
            <w:gridSpan w:val="5"/>
          </w:tcPr>
          <w:p w14:paraId="1DBA3960" w14:textId="77777777" w:rsidR="00BC0A52" w:rsidRPr="004D1ED1" w:rsidRDefault="00BC0A52" w:rsidP="00DE1BB0">
            <w:r w:rsidRPr="004D1ED1">
              <w:t>55% (IAD) x 0,9 km x 8000 c/rok = 3960 km/rok</w:t>
            </w:r>
          </w:p>
        </w:tc>
      </w:tr>
      <w:tr w:rsidR="00BC0A52" w:rsidRPr="004D1ED1" w14:paraId="487E008F" w14:textId="77777777" w:rsidTr="003842BF">
        <w:tc>
          <w:tcPr>
            <w:tcW w:w="3926" w:type="dxa"/>
          </w:tcPr>
          <w:p w14:paraId="57ED9A69" w14:textId="5730BF69" w:rsidR="00BC0A52" w:rsidRPr="004D1ED1" w:rsidRDefault="00BC0A52" w:rsidP="00DE1BB0">
            <w:r w:rsidRPr="004D1ED1">
              <w:t xml:space="preserve">- </w:t>
            </w:r>
            <w:r w:rsidR="002314EE" w:rsidRPr="004D1ED1">
              <w:t>relatívna nehodovosť (nehôd/1mil.km)</w:t>
            </w:r>
          </w:p>
        </w:tc>
        <w:tc>
          <w:tcPr>
            <w:tcW w:w="2568" w:type="dxa"/>
            <w:gridSpan w:val="2"/>
          </w:tcPr>
          <w:p w14:paraId="5149A175" w14:textId="77777777" w:rsidR="00BC0A52" w:rsidRPr="004D1ED1" w:rsidRDefault="00BC0A52" w:rsidP="00DE1BB0">
            <w:r w:rsidRPr="004D1ED1">
              <w:t>intravilán</w:t>
            </w:r>
          </w:p>
        </w:tc>
        <w:tc>
          <w:tcPr>
            <w:tcW w:w="2568" w:type="dxa"/>
            <w:gridSpan w:val="3"/>
          </w:tcPr>
          <w:p w14:paraId="10C3F440" w14:textId="77777777" w:rsidR="00BC0A52" w:rsidRPr="004D1ED1" w:rsidRDefault="00BC0A52" w:rsidP="00DE1BB0">
            <w:r w:rsidRPr="004D1ED1">
              <w:t>extravilán</w:t>
            </w:r>
          </w:p>
        </w:tc>
      </w:tr>
      <w:tr w:rsidR="00BC0A52" w:rsidRPr="004D1ED1" w14:paraId="47F94485" w14:textId="77777777" w:rsidTr="003842BF">
        <w:tc>
          <w:tcPr>
            <w:tcW w:w="3926" w:type="dxa"/>
          </w:tcPr>
          <w:p w14:paraId="24E84877" w14:textId="77777777" w:rsidR="00BC0A52" w:rsidRPr="004D1ED1" w:rsidRDefault="00BC0A52" w:rsidP="00DE1BB0">
            <w:r w:rsidRPr="004D1ED1">
              <w:t>- smrteľné nehody</w:t>
            </w:r>
          </w:p>
        </w:tc>
        <w:tc>
          <w:tcPr>
            <w:tcW w:w="2568" w:type="dxa"/>
            <w:gridSpan w:val="2"/>
          </w:tcPr>
          <w:p w14:paraId="7E30C0E3" w14:textId="77777777" w:rsidR="00BC0A52" w:rsidRPr="004D1ED1" w:rsidRDefault="00BC0A52" w:rsidP="00DE1BB0"/>
        </w:tc>
        <w:tc>
          <w:tcPr>
            <w:tcW w:w="2568" w:type="dxa"/>
            <w:gridSpan w:val="3"/>
          </w:tcPr>
          <w:p w14:paraId="2F64C57E" w14:textId="5C888FF9" w:rsidR="00BC0A52" w:rsidRPr="004D1ED1" w:rsidRDefault="002314EE" w:rsidP="00DE1BB0">
            <w:r w:rsidRPr="004D1ED1">
              <w:t>1,112</w:t>
            </w:r>
          </w:p>
        </w:tc>
      </w:tr>
      <w:tr w:rsidR="00BC0A52" w:rsidRPr="004D1ED1" w14:paraId="7EF42A05" w14:textId="77777777" w:rsidTr="003842BF">
        <w:tc>
          <w:tcPr>
            <w:tcW w:w="3926" w:type="dxa"/>
          </w:tcPr>
          <w:p w14:paraId="40C682AD" w14:textId="77777777" w:rsidR="00BC0A52" w:rsidRPr="004D1ED1" w:rsidRDefault="00BC0A52" w:rsidP="00DE1BB0">
            <w:r w:rsidRPr="004D1ED1">
              <w:t>- ťažké zranenie</w:t>
            </w:r>
          </w:p>
        </w:tc>
        <w:tc>
          <w:tcPr>
            <w:tcW w:w="2568" w:type="dxa"/>
            <w:gridSpan w:val="2"/>
          </w:tcPr>
          <w:p w14:paraId="1A8FF0F4" w14:textId="77777777" w:rsidR="00BC0A52" w:rsidRPr="004D1ED1" w:rsidRDefault="00BC0A52" w:rsidP="00DE1BB0"/>
        </w:tc>
        <w:tc>
          <w:tcPr>
            <w:tcW w:w="2568" w:type="dxa"/>
            <w:gridSpan w:val="3"/>
          </w:tcPr>
          <w:p w14:paraId="1F1B8CC5" w14:textId="74ABF880" w:rsidR="00BC0A52" w:rsidRPr="004D1ED1" w:rsidRDefault="002314EE" w:rsidP="00DE1BB0">
            <w:r w:rsidRPr="004D1ED1">
              <w:t>6,541</w:t>
            </w:r>
          </w:p>
        </w:tc>
      </w:tr>
      <w:tr w:rsidR="00BC0A52" w:rsidRPr="004D1ED1" w14:paraId="456C2CA6" w14:textId="77777777" w:rsidTr="003842BF">
        <w:tc>
          <w:tcPr>
            <w:tcW w:w="3926" w:type="dxa"/>
          </w:tcPr>
          <w:p w14:paraId="77FCF474" w14:textId="77777777" w:rsidR="00BC0A52" w:rsidRPr="004D1ED1" w:rsidRDefault="00BC0A52" w:rsidP="00DE1BB0">
            <w:r w:rsidRPr="004D1ED1">
              <w:t>- ľahké zranenie</w:t>
            </w:r>
          </w:p>
        </w:tc>
        <w:tc>
          <w:tcPr>
            <w:tcW w:w="2568" w:type="dxa"/>
            <w:gridSpan w:val="2"/>
          </w:tcPr>
          <w:p w14:paraId="3E3B030C" w14:textId="77777777" w:rsidR="00BC0A52" w:rsidRPr="004D1ED1" w:rsidRDefault="00BC0A52" w:rsidP="00DE1BB0"/>
        </w:tc>
        <w:tc>
          <w:tcPr>
            <w:tcW w:w="2568" w:type="dxa"/>
            <w:gridSpan w:val="3"/>
          </w:tcPr>
          <w:p w14:paraId="78F0B567" w14:textId="7BDE452E" w:rsidR="00BC0A52" w:rsidRPr="004D1ED1" w:rsidRDefault="002314EE" w:rsidP="00DE1BB0">
            <w:r w:rsidRPr="004D1ED1">
              <w:t>47,969</w:t>
            </w:r>
          </w:p>
        </w:tc>
      </w:tr>
      <w:tr w:rsidR="002314EE" w:rsidRPr="004D1ED1" w14:paraId="1A085332" w14:textId="77777777" w:rsidTr="003842BF">
        <w:tc>
          <w:tcPr>
            <w:tcW w:w="3926" w:type="dxa"/>
          </w:tcPr>
          <w:p w14:paraId="05E13CDA" w14:textId="69CCDD6A" w:rsidR="002314EE" w:rsidRPr="004D1ED1" w:rsidRDefault="002314EE" w:rsidP="00DE1BB0">
            <w:r w:rsidRPr="004D1ED1">
              <w:t>- počet nehôd (na cestách)</w:t>
            </w:r>
          </w:p>
        </w:tc>
        <w:tc>
          <w:tcPr>
            <w:tcW w:w="2568" w:type="dxa"/>
            <w:gridSpan w:val="2"/>
          </w:tcPr>
          <w:p w14:paraId="2CE83623" w14:textId="183C68E0" w:rsidR="002314EE" w:rsidRPr="004D1ED1" w:rsidRDefault="002314EE" w:rsidP="00DE1BB0">
            <w:r w:rsidRPr="004D1ED1">
              <w:t>intravilán</w:t>
            </w:r>
          </w:p>
        </w:tc>
        <w:tc>
          <w:tcPr>
            <w:tcW w:w="2568" w:type="dxa"/>
            <w:gridSpan w:val="3"/>
          </w:tcPr>
          <w:p w14:paraId="6371A65E" w14:textId="6090231A" w:rsidR="002314EE" w:rsidRPr="004D1ED1" w:rsidRDefault="002314EE" w:rsidP="00DE1BB0">
            <w:r w:rsidRPr="004D1ED1">
              <w:t>extravilán</w:t>
            </w:r>
          </w:p>
        </w:tc>
      </w:tr>
      <w:tr w:rsidR="002314EE" w:rsidRPr="004D1ED1" w14:paraId="7BEDCABF" w14:textId="77777777" w:rsidTr="003842BF">
        <w:tc>
          <w:tcPr>
            <w:tcW w:w="3926" w:type="dxa"/>
          </w:tcPr>
          <w:p w14:paraId="4C6C5FFB" w14:textId="149F9276" w:rsidR="002314EE" w:rsidRPr="004D1ED1" w:rsidRDefault="002314EE" w:rsidP="00DE1BB0">
            <w:r w:rsidRPr="004D1ED1">
              <w:t>- smrteľné nehody</w:t>
            </w:r>
          </w:p>
        </w:tc>
        <w:tc>
          <w:tcPr>
            <w:tcW w:w="2568" w:type="dxa"/>
            <w:gridSpan w:val="2"/>
          </w:tcPr>
          <w:p w14:paraId="74AB1093" w14:textId="77777777" w:rsidR="002314EE" w:rsidRPr="004D1ED1" w:rsidRDefault="002314EE" w:rsidP="00DE1BB0"/>
        </w:tc>
        <w:tc>
          <w:tcPr>
            <w:tcW w:w="2568" w:type="dxa"/>
            <w:gridSpan w:val="3"/>
          </w:tcPr>
          <w:p w14:paraId="61A7C2EC" w14:textId="7CCA9357" w:rsidR="002314EE" w:rsidRPr="004D1ED1" w:rsidRDefault="002314EE" w:rsidP="00DE1BB0">
            <w:r w:rsidRPr="004D1ED1">
              <w:t>0,0044/rok</w:t>
            </w:r>
          </w:p>
        </w:tc>
      </w:tr>
      <w:tr w:rsidR="002314EE" w:rsidRPr="004D1ED1" w14:paraId="435ECC58" w14:textId="77777777" w:rsidTr="003842BF">
        <w:tc>
          <w:tcPr>
            <w:tcW w:w="3926" w:type="dxa"/>
          </w:tcPr>
          <w:p w14:paraId="6C87FA9E" w14:textId="48C26F91" w:rsidR="002314EE" w:rsidRPr="004D1ED1" w:rsidRDefault="002314EE" w:rsidP="00DE1BB0">
            <w:r w:rsidRPr="004D1ED1">
              <w:t>- ťažké zranenie</w:t>
            </w:r>
          </w:p>
        </w:tc>
        <w:tc>
          <w:tcPr>
            <w:tcW w:w="2568" w:type="dxa"/>
            <w:gridSpan w:val="2"/>
          </w:tcPr>
          <w:p w14:paraId="37A67BB5" w14:textId="77777777" w:rsidR="002314EE" w:rsidRPr="004D1ED1" w:rsidRDefault="002314EE" w:rsidP="00DE1BB0"/>
        </w:tc>
        <w:tc>
          <w:tcPr>
            <w:tcW w:w="2568" w:type="dxa"/>
            <w:gridSpan w:val="3"/>
          </w:tcPr>
          <w:p w14:paraId="08E48F6C" w14:textId="2A6B77F0" w:rsidR="002314EE" w:rsidRPr="004D1ED1" w:rsidRDefault="002314EE" w:rsidP="00DE1BB0">
            <w:r w:rsidRPr="004D1ED1">
              <w:t>0,0259/rok</w:t>
            </w:r>
          </w:p>
        </w:tc>
      </w:tr>
      <w:tr w:rsidR="002314EE" w:rsidRPr="004D1ED1" w14:paraId="2DF3D929" w14:textId="77777777" w:rsidTr="003842BF">
        <w:tc>
          <w:tcPr>
            <w:tcW w:w="3926" w:type="dxa"/>
          </w:tcPr>
          <w:p w14:paraId="26D228F5" w14:textId="663ED814" w:rsidR="002314EE" w:rsidRPr="004D1ED1" w:rsidRDefault="002314EE" w:rsidP="00DE1BB0">
            <w:r w:rsidRPr="004D1ED1">
              <w:t>- ľahké zranenie</w:t>
            </w:r>
          </w:p>
        </w:tc>
        <w:tc>
          <w:tcPr>
            <w:tcW w:w="2568" w:type="dxa"/>
            <w:gridSpan w:val="2"/>
          </w:tcPr>
          <w:p w14:paraId="677A0270" w14:textId="77777777" w:rsidR="002314EE" w:rsidRPr="004D1ED1" w:rsidRDefault="002314EE" w:rsidP="00DE1BB0"/>
        </w:tc>
        <w:tc>
          <w:tcPr>
            <w:tcW w:w="2568" w:type="dxa"/>
            <w:gridSpan w:val="3"/>
          </w:tcPr>
          <w:p w14:paraId="4EBC6ECF" w14:textId="3D173A67" w:rsidR="002314EE" w:rsidRPr="004D1ED1" w:rsidRDefault="002314EE" w:rsidP="00DE1BB0">
            <w:r w:rsidRPr="004D1ED1">
              <w:t>0,18995/rok</w:t>
            </w:r>
          </w:p>
        </w:tc>
      </w:tr>
      <w:tr w:rsidR="002314EE" w:rsidRPr="004D1ED1" w14:paraId="47E4035B" w14:textId="77777777" w:rsidTr="003842BF">
        <w:tc>
          <w:tcPr>
            <w:tcW w:w="3926" w:type="dxa"/>
          </w:tcPr>
          <w:p w14:paraId="61F9BC70" w14:textId="77777777" w:rsidR="002314EE" w:rsidRPr="004D1ED1" w:rsidRDefault="002314EE" w:rsidP="00DE1BB0">
            <w:r w:rsidRPr="004D1ED1">
              <w:t>- jednotková hodnota následkov nehôd</w:t>
            </w:r>
          </w:p>
        </w:tc>
        <w:tc>
          <w:tcPr>
            <w:tcW w:w="2568" w:type="dxa"/>
            <w:gridSpan w:val="2"/>
          </w:tcPr>
          <w:p w14:paraId="44BEF040" w14:textId="77777777" w:rsidR="002314EE" w:rsidRPr="004D1ED1" w:rsidRDefault="002314EE" w:rsidP="00DE1BB0">
            <w:r w:rsidRPr="004D1ED1">
              <w:t>intravilán</w:t>
            </w:r>
          </w:p>
        </w:tc>
        <w:tc>
          <w:tcPr>
            <w:tcW w:w="2568" w:type="dxa"/>
            <w:gridSpan w:val="3"/>
          </w:tcPr>
          <w:p w14:paraId="6C139FBD" w14:textId="77777777" w:rsidR="002314EE" w:rsidRPr="004D1ED1" w:rsidRDefault="002314EE" w:rsidP="00DE1BB0">
            <w:r w:rsidRPr="004D1ED1">
              <w:t>extravilán</w:t>
            </w:r>
          </w:p>
        </w:tc>
      </w:tr>
      <w:tr w:rsidR="002314EE" w:rsidRPr="004D1ED1" w14:paraId="134646FC" w14:textId="77777777" w:rsidTr="003842BF">
        <w:tc>
          <w:tcPr>
            <w:tcW w:w="3926" w:type="dxa"/>
          </w:tcPr>
          <w:p w14:paraId="116190E7" w14:textId="77777777" w:rsidR="002314EE" w:rsidRPr="004D1ED1" w:rsidRDefault="002314EE" w:rsidP="00DE1BB0">
            <w:r w:rsidRPr="004D1ED1">
              <w:t>- smrteľné nehody</w:t>
            </w:r>
          </w:p>
        </w:tc>
        <w:tc>
          <w:tcPr>
            <w:tcW w:w="2568" w:type="dxa"/>
            <w:gridSpan w:val="2"/>
          </w:tcPr>
          <w:p w14:paraId="6700B566" w14:textId="77777777" w:rsidR="002314EE" w:rsidRPr="004D1ED1" w:rsidRDefault="002314EE" w:rsidP="00DE1BB0"/>
        </w:tc>
        <w:tc>
          <w:tcPr>
            <w:tcW w:w="2568" w:type="dxa"/>
            <w:gridSpan w:val="3"/>
          </w:tcPr>
          <w:p w14:paraId="213BEED6" w14:textId="136B3DF2" w:rsidR="002314EE" w:rsidRPr="004D1ED1" w:rsidRDefault="002314EE" w:rsidP="00DE1BB0">
            <w:r w:rsidRPr="004D1ED1">
              <w:t>3 296 699 €/nehoda</w:t>
            </w:r>
          </w:p>
        </w:tc>
      </w:tr>
      <w:tr w:rsidR="002314EE" w:rsidRPr="004D1ED1" w14:paraId="72224459" w14:textId="77777777" w:rsidTr="003842BF">
        <w:tc>
          <w:tcPr>
            <w:tcW w:w="3926" w:type="dxa"/>
          </w:tcPr>
          <w:p w14:paraId="0A1DF0B7" w14:textId="77777777" w:rsidR="002314EE" w:rsidRPr="004D1ED1" w:rsidRDefault="002314EE" w:rsidP="00DE1BB0">
            <w:r w:rsidRPr="004D1ED1">
              <w:t>- ťažké zranenie</w:t>
            </w:r>
          </w:p>
        </w:tc>
        <w:tc>
          <w:tcPr>
            <w:tcW w:w="2568" w:type="dxa"/>
            <w:gridSpan w:val="2"/>
          </w:tcPr>
          <w:p w14:paraId="39A854AD" w14:textId="77777777" w:rsidR="002314EE" w:rsidRPr="004D1ED1" w:rsidRDefault="002314EE" w:rsidP="00DE1BB0"/>
        </w:tc>
        <w:tc>
          <w:tcPr>
            <w:tcW w:w="2568" w:type="dxa"/>
            <w:gridSpan w:val="3"/>
          </w:tcPr>
          <w:p w14:paraId="09C55388" w14:textId="3D6C63A9" w:rsidR="002314EE" w:rsidRPr="004D1ED1" w:rsidRDefault="002314EE" w:rsidP="00DE1BB0">
            <w:r w:rsidRPr="004D1ED1">
              <w:t>468 482 €/nehoda</w:t>
            </w:r>
          </w:p>
        </w:tc>
      </w:tr>
      <w:tr w:rsidR="002314EE" w:rsidRPr="004D1ED1" w14:paraId="0CE49AF2" w14:textId="77777777" w:rsidTr="003842BF">
        <w:tc>
          <w:tcPr>
            <w:tcW w:w="3926" w:type="dxa"/>
          </w:tcPr>
          <w:p w14:paraId="27A4F029" w14:textId="77777777" w:rsidR="002314EE" w:rsidRPr="004D1ED1" w:rsidRDefault="002314EE" w:rsidP="00DE1BB0">
            <w:r w:rsidRPr="004D1ED1">
              <w:t>- ľahké zranenie</w:t>
            </w:r>
          </w:p>
        </w:tc>
        <w:tc>
          <w:tcPr>
            <w:tcW w:w="2568" w:type="dxa"/>
            <w:gridSpan w:val="2"/>
          </w:tcPr>
          <w:p w14:paraId="7D9E2909" w14:textId="77777777" w:rsidR="002314EE" w:rsidRPr="004D1ED1" w:rsidRDefault="002314EE" w:rsidP="00DE1BB0"/>
        </w:tc>
        <w:tc>
          <w:tcPr>
            <w:tcW w:w="2568" w:type="dxa"/>
            <w:gridSpan w:val="3"/>
          </w:tcPr>
          <w:p w14:paraId="37993DCC" w14:textId="4524E72D" w:rsidR="002314EE" w:rsidRPr="004D1ED1" w:rsidRDefault="002314EE" w:rsidP="00DE1BB0">
            <w:r w:rsidRPr="004D1ED1">
              <w:t>36 161 €/nehoda</w:t>
            </w:r>
          </w:p>
        </w:tc>
      </w:tr>
      <w:tr w:rsidR="002314EE" w:rsidRPr="004D1ED1" w14:paraId="1102FB9B" w14:textId="77777777" w:rsidTr="003842BF">
        <w:tc>
          <w:tcPr>
            <w:tcW w:w="3926" w:type="dxa"/>
          </w:tcPr>
          <w:p w14:paraId="3918F59B" w14:textId="77777777" w:rsidR="002314EE" w:rsidRPr="004D1ED1" w:rsidRDefault="002314EE" w:rsidP="00DE1BB0">
            <w:r w:rsidRPr="004D1ED1">
              <w:t>- absolútna hodnota následkov nehôd</w:t>
            </w:r>
          </w:p>
        </w:tc>
        <w:tc>
          <w:tcPr>
            <w:tcW w:w="2568" w:type="dxa"/>
            <w:gridSpan w:val="2"/>
          </w:tcPr>
          <w:p w14:paraId="0D92FDEC" w14:textId="77777777" w:rsidR="002314EE" w:rsidRPr="004D1ED1" w:rsidRDefault="002314EE" w:rsidP="00DE1BB0">
            <w:r w:rsidRPr="004D1ED1">
              <w:t>intravilán</w:t>
            </w:r>
          </w:p>
        </w:tc>
        <w:tc>
          <w:tcPr>
            <w:tcW w:w="2568" w:type="dxa"/>
            <w:gridSpan w:val="3"/>
          </w:tcPr>
          <w:p w14:paraId="5B240C91" w14:textId="77777777" w:rsidR="002314EE" w:rsidRPr="004D1ED1" w:rsidRDefault="002314EE" w:rsidP="00DE1BB0">
            <w:r w:rsidRPr="004D1ED1">
              <w:t>extravilán</w:t>
            </w:r>
          </w:p>
        </w:tc>
      </w:tr>
      <w:tr w:rsidR="002314EE" w:rsidRPr="004D1ED1" w14:paraId="39FC4913" w14:textId="77777777" w:rsidTr="003842BF">
        <w:tc>
          <w:tcPr>
            <w:tcW w:w="3926" w:type="dxa"/>
          </w:tcPr>
          <w:p w14:paraId="3A7B367C" w14:textId="77777777" w:rsidR="002314EE" w:rsidRPr="004D1ED1" w:rsidRDefault="002314EE" w:rsidP="00DE1BB0">
            <w:r w:rsidRPr="004D1ED1">
              <w:t>- smrteľné nehody</w:t>
            </w:r>
          </w:p>
        </w:tc>
        <w:tc>
          <w:tcPr>
            <w:tcW w:w="2568" w:type="dxa"/>
            <w:gridSpan w:val="2"/>
          </w:tcPr>
          <w:p w14:paraId="23E61056" w14:textId="77777777" w:rsidR="002314EE" w:rsidRPr="004D1ED1" w:rsidRDefault="002314EE" w:rsidP="00DE1BB0"/>
        </w:tc>
        <w:tc>
          <w:tcPr>
            <w:tcW w:w="2568" w:type="dxa"/>
            <w:gridSpan w:val="3"/>
          </w:tcPr>
          <w:p w14:paraId="4C0D6C30" w14:textId="78CF1EA6" w:rsidR="002314EE" w:rsidRPr="004D1ED1" w:rsidRDefault="00544493" w:rsidP="00DE1BB0">
            <w:r w:rsidRPr="004D1ED1">
              <w:t>14505,48 €/rok</w:t>
            </w:r>
          </w:p>
        </w:tc>
      </w:tr>
      <w:tr w:rsidR="002314EE" w:rsidRPr="004D1ED1" w14:paraId="4B6C4185" w14:textId="77777777" w:rsidTr="003842BF">
        <w:tc>
          <w:tcPr>
            <w:tcW w:w="3926" w:type="dxa"/>
          </w:tcPr>
          <w:p w14:paraId="1E8C3D5D" w14:textId="77777777" w:rsidR="002314EE" w:rsidRPr="004D1ED1" w:rsidRDefault="002314EE" w:rsidP="00DE1BB0">
            <w:r w:rsidRPr="004D1ED1">
              <w:t>- ťažké zranenie</w:t>
            </w:r>
          </w:p>
        </w:tc>
        <w:tc>
          <w:tcPr>
            <w:tcW w:w="2568" w:type="dxa"/>
            <w:gridSpan w:val="2"/>
          </w:tcPr>
          <w:p w14:paraId="051ADC00" w14:textId="77777777" w:rsidR="002314EE" w:rsidRPr="004D1ED1" w:rsidRDefault="002314EE" w:rsidP="00DE1BB0"/>
        </w:tc>
        <w:tc>
          <w:tcPr>
            <w:tcW w:w="2568" w:type="dxa"/>
            <w:gridSpan w:val="3"/>
          </w:tcPr>
          <w:p w14:paraId="72769CDA" w14:textId="13A27B38" w:rsidR="002314EE" w:rsidRPr="004D1ED1" w:rsidRDefault="00544493" w:rsidP="00DE1BB0">
            <w:r w:rsidRPr="004D1ED1">
              <w:t>12133,68 €/rok</w:t>
            </w:r>
          </w:p>
        </w:tc>
      </w:tr>
      <w:tr w:rsidR="002314EE" w:rsidRPr="004D1ED1" w14:paraId="6E885B80" w14:textId="77777777" w:rsidTr="003842BF">
        <w:tc>
          <w:tcPr>
            <w:tcW w:w="3926" w:type="dxa"/>
          </w:tcPr>
          <w:p w14:paraId="131A5B91" w14:textId="77777777" w:rsidR="002314EE" w:rsidRPr="004D1ED1" w:rsidRDefault="002314EE" w:rsidP="00DE1BB0">
            <w:r w:rsidRPr="004D1ED1">
              <w:t>- ľahké zranenie</w:t>
            </w:r>
          </w:p>
        </w:tc>
        <w:tc>
          <w:tcPr>
            <w:tcW w:w="2568" w:type="dxa"/>
            <w:gridSpan w:val="2"/>
          </w:tcPr>
          <w:p w14:paraId="753791C1" w14:textId="77777777" w:rsidR="002314EE" w:rsidRPr="004D1ED1" w:rsidRDefault="002314EE" w:rsidP="00DE1BB0"/>
        </w:tc>
        <w:tc>
          <w:tcPr>
            <w:tcW w:w="2568" w:type="dxa"/>
            <w:gridSpan w:val="3"/>
          </w:tcPr>
          <w:p w14:paraId="6FDF8F46" w14:textId="05A24C7D" w:rsidR="002314EE" w:rsidRPr="004D1ED1" w:rsidRDefault="00544493" w:rsidP="00DE1BB0">
            <w:r w:rsidRPr="004D1ED1">
              <w:t>6869,04 €/rok</w:t>
            </w:r>
          </w:p>
        </w:tc>
      </w:tr>
      <w:tr w:rsidR="00544493" w:rsidRPr="004D1ED1" w14:paraId="7CAEFB5B" w14:textId="77777777" w:rsidTr="009B2E48">
        <w:tc>
          <w:tcPr>
            <w:tcW w:w="3926" w:type="dxa"/>
          </w:tcPr>
          <w:p w14:paraId="002B2D13" w14:textId="77777777" w:rsidR="00544493" w:rsidRPr="004D1ED1" w:rsidRDefault="00544493" w:rsidP="00DE1BB0">
            <w:r w:rsidRPr="004D1ED1">
              <w:t>- spolu absolútne prínosy za rok</w:t>
            </w:r>
          </w:p>
        </w:tc>
        <w:tc>
          <w:tcPr>
            <w:tcW w:w="5136" w:type="dxa"/>
            <w:gridSpan w:val="5"/>
          </w:tcPr>
          <w:p w14:paraId="5094EF59" w14:textId="4482DCB0" w:rsidR="00544493" w:rsidRPr="004D1ED1" w:rsidRDefault="00544493" w:rsidP="00DE1BB0">
            <w:r w:rsidRPr="004D1ED1">
              <w:t>33508,20 €/rok</w:t>
            </w:r>
          </w:p>
        </w:tc>
      </w:tr>
      <w:tr w:rsidR="00544493" w:rsidRPr="004D1ED1" w14:paraId="0D166359" w14:textId="77777777" w:rsidTr="003252D5">
        <w:tc>
          <w:tcPr>
            <w:tcW w:w="3926" w:type="dxa"/>
          </w:tcPr>
          <w:p w14:paraId="5FEDD628" w14:textId="77777777" w:rsidR="00544493" w:rsidRPr="004D1ED1" w:rsidRDefault="00544493" w:rsidP="00DE1BB0">
            <w:r w:rsidRPr="004D1ED1">
              <w:lastRenderedPageBreak/>
              <w:t>- spolu diskontované prínosy za obdobie</w:t>
            </w:r>
          </w:p>
        </w:tc>
        <w:tc>
          <w:tcPr>
            <w:tcW w:w="5136" w:type="dxa"/>
            <w:gridSpan w:val="5"/>
          </w:tcPr>
          <w:p w14:paraId="51177CAA" w14:textId="77777777" w:rsidR="00544493" w:rsidRPr="004D1ED1" w:rsidRDefault="00544493" w:rsidP="00DE1BB0"/>
        </w:tc>
      </w:tr>
      <w:tr w:rsidR="00544493" w:rsidRPr="004D1ED1" w14:paraId="3BDD91CB" w14:textId="77777777" w:rsidTr="003252D5">
        <w:tc>
          <w:tcPr>
            <w:tcW w:w="3926" w:type="dxa"/>
          </w:tcPr>
          <w:p w14:paraId="36FF8C47" w14:textId="77777777" w:rsidR="00544493" w:rsidRPr="004D1ED1" w:rsidRDefault="00544493" w:rsidP="00DE1BB0"/>
        </w:tc>
        <w:tc>
          <w:tcPr>
            <w:tcW w:w="5136" w:type="dxa"/>
            <w:gridSpan w:val="5"/>
          </w:tcPr>
          <w:p w14:paraId="04B5572A" w14:textId="77777777" w:rsidR="00544493" w:rsidRPr="004D1ED1" w:rsidRDefault="00544493" w:rsidP="00DE1BB0"/>
        </w:tc>
      </w:tr>
      <w:tr w:rsidR="00544493" w:rsidRPr="004D1ED1" w14:paraId="49F6E6C7" w14:textId="77777777" w:rsidTr="001E032F">
        <w:tc>
          <w:tcPr>
            <w:tcW w:w="3926" w:type="dxa"/>
          </w:tcPr>
          <w:p w14:paraId="3E2EE0AD" w14:textId="13C3FE95" w:rsidR="00544493" w:rsidRPr="004D1ED1" w:rsidRDefault="00544493" w:rsidP="00DE1BB0">
            <w:r w:rsidRPr="004D1ED1">
              <w:t>Štruktúra benefitov</w:t>
            </w:r>
          </w:p>
        </w:tc>
        <w:tc>
          <w:tcPr>
            <w:tcW w:w="2568" w:type="dxa"/>
            <w:gridSpan w:val="2"/>
          </w:tcPr>
          <w:p w14:paraId="20C69190" w14:textId="5773D570" w:rsidR="00544493" w:rsidRPr="004D1ED1" w:rsidRDefault="00544493" w:rsidP="00DE1BB0">
            <w:r w:rsidRPr="004D1ED1">
              <w:t>nediskontované</w:t>
            </w:r>
          </w:p>
        </w:tc>
        <w:tc>
          <w:tcPr>
            <w:tcW w:w="2568" w:type="dxa"/>
            <w:gridSpan w:val="3"/>
          </w:tcPr>
          <w:p w14:paraId="276E3513" w14:textId="07EEAA37" w:rsidR="00544493" w:rsidRPr="004D1ED1" w:rsidRDefault="00544493" w:rsidP="00DE1BB0">
            <w:r w:rsidRPr="004D1ED1">
              <w:t>diskontované</w:t>
            </w:r>
          </w:p>
        </w:tc>
      </w:tr>
      <w:tr w:rsidR="00544493" w:rsidRPr="004D1ED1" w14:paraId="49743B3B" w14:textId="77777777" w:rsidTr="00544493">
        <w:tc>
          <w:tcPr>
            <w:tcW w:w="3926" w:type="dxa"/>
          </w:tcPr>
          <w:p w14:paraId="20004812" w14:textId="7E477DAC" w:rsidR="00544493" w:rsidRPr="004D1ED1" w:rsidRDefault="00544493" w:rsidP="00DE1BB0">
            <w:r w:rsidRPr="004D1ED1">
              <w:t>za hodnotiace obdobie 20 rokov</w:t>
            </w:r>
          </w:p>
        </w:tc>
        <w:tc>
          <w:tcPr>
            <w:tcW w:w="1712" w:type="dxa"/>
          </w:tcPr>
          <w:p w14:paraId="2A5E9E52" w14:textId="6F020A23" w:rsidR="00544493" w:rsidRPr="004D1ED1" w:rsidRDefault="00544493" w:rsidP="00DE1BB0">
            <w:proofErr w:type="spellStart"/>
            <w:r w:rsidRPr="004D1ED1">
              <w:t>abs</w:t>
            </w:r>
            <w:proofErr w:type="spellEnd"/>
            <w:r w:rsidRPr="004D1ED1">
              <w:t>.</w:t>
            </w:r>
          </w:p>
        </w:tc>
        <w:tc>
          <w:tcPr>
            <w:tcW w:w="856" w:type="dxa"/>
          </w:tcPr>
          <w:p w14:paraId="0AEC74CD" w14:textId="751CBDF0" w:rsidR="00544493" w:rsidRPr="004D1ED1" w:rsidRDefault="00544493" w:rsidP="00DE1BB0">
            <w:r w:rsidRPr="004D1ED1">
              <w:t>%</w:t>
            </w:r>
          </w:p>
        </w:tc>
        <w:tc>
          <w:tcPr>
            <w:tcW w:w="1723" w:type="dxa"/>
            <w:gridSpan w:val="2"/>
          </w:tcPr>
          <w:p w14:paraId="2C499B1D" w14:textId="153B4440" w:rsidR="00544493" w:rsidRPr="004D1ED1" w:rsidRDefault="00544493" w:rsidP="00DE1BB0">
            <w:proofErr w:type="spellStart"/>
            <w:r w:rsidRPr="004D1ED1">
              <w:t>abs</w:t>
            </w:r>
            <w:proofErr w:type="spellEnd"/>
            <w:r w:rsidRPr="004D1ED1">
              <w:t>.</w:t>
            </w:r>
          </w:p>
        </w:tc>
        <w:tc>
          <w:tcPr>
            <w:tcW w:w="845" w:type="dxa"/>
          </w:tcPr>
          <w:p w14:paraId="45D9A3F8" w14:textId="1DB6083E" w:rsidR="00544493" w:rsidRPr="004D1ED1" w:rsidRDefault="00544493" w:rsidP="00DE1BB0">
            <w:r w:rsidRPr="004D1ED1">
              <w:t>%</w:t>
            </w:r>
          </w:p>
        </w:tc>
      </w:tr>
      <w:tr w:rsidR="00544493" w:rsidRPr="004D1ED1" w14:paraId="67AB5B14" w14:textId="77777777" w:rsidTr="00544493">
        <w:tc>
          <w:tcPr>
            <w:tcW w:w="3926" w:type="dxa"/>
          </w:tcPr>
          <w:p w14:paraId="0B1133FB" w14:textId="730FC33C" w:rsidR="00544493" w:rsidRPr="004D1ED1" w:rsidRDefault="00544493" w:rsidP="00DE1BB0">
            <w:r w:rsidRPr="004D1ED1">
              <w:t>Prínosy zlepšenia zdravia</w:t>
            </w:r>
          </w:p>
        </w:tc>
        <w:tc>
          <w:tcPr>
            <w:tcW w:w="1712" w:type="dxa"/>
          </w:tcPr>
          <w:p w14:paraId="65D7F086" w14:textId="74CDC7EB" w:rsidR="00544493" w:rsidRPr="004D1ED1" w:rsidRDefault="00544493" w:rsidP="00DE1BB0">
            <w:r w:rsidRPr="004D1ED1">
              <w:t>259 329,60</w:t>
            </w:r>
          </w:p>
        </w:tc>
        <w:tc>
          <w:tcPr>
            <w:tcW w:w="856" w:type="dxa"/>
          </w:tcPr>
          <w:p w14:paraId="28333CDE" w14:textId="513D35F2" w:rsidR="00544493" w:rsidRPr="004D1ED1" w:rsidRDefault="004D1466" w:rsidP="00DE1BB0">
            <w:r w:rsidRPr="004D1ED1">
              <w:t>27,3%</w:t>
            </w:r>
          </w:p>
        </w:tc>
        <w:tc>
          <w:tcPr>
            <w:tcW w:w="1723" w:type="dxa"/>
            <w:gridSpan w:val="2"/>
          </w:tcPr>
          <w:p w14:paraId="50B2D19C" w14:textId="77777777" w:rsidR="00544493" w:rsidRPr="004D1ED1" w:rsidRDefault="00544493" w:rsidP="00DE1BB0"/>
        </w:tc>
        <w:tc>
          <w:tcPr>
            <w:tcW w:w="845" w:type="dxa"/>
          </w:tcPr>
          <w:p w14:paraId="2E03ED17" w14:textId="2DF6884E" w:rsidR="00544493" w:rsidRPr="004D1ED1" w:rsidRDefault="00544493" w:rsidP="00DE1BB0"/>
        </w:tc>
      </w:tr>
      <w:tr w:rsidR="00544493" w:rsidRPr="004D1ED1" w14:paraId="468CFA34" w14:textId="77777777" w:rsidTr="00544493">
        <w:tc>
          <w:tcPr>
            <w:tcW w:w="3926" w:type="dxa"/>
          </w:tcPr>
          <w:p w14:paraId="33D1F24C" w14:textId="7FBC6196" w:rsidR="00544493" w:rsidRPr="004D1ED1" w:rsidRDefault="00544493" w:rsidP="00DE1BB0">
            <w:r w:rsidRPr="004D1ED1">
              <w:t>Úspora pohonných hmôt (IAD)</w:t>
            </w:r>
          </w:p>
        </w:tc>
        <w:tc>
          <w:tcPr>
            <w:tcW w:w="1712" w:type="dxa"/>
          </w:tcPr>
          <w:p w14:paraId="3D098EF2" w14:textId="691FAACC" w:rsidR="00544493" w:rsidRPr="004D1ED1" w:rsidRDefault="00544493" w:rsidP="00DE1BB0">
            <w:r w:rsidRPr="004D1ED1">
              <w:t>9 839,80</w:t>
            </w:r>
          </w:p>
        </w:tc>
        <w:tc>
          <w:tcPr>
            <w:tcW w:w="856" w:type="dxa"/>
          </w:tcPr>
          <w:p w14:paraId="32BDBD6C" w14:textId="52B74B99" w:rsidR="00544493" w:rsidRPr="004D1ED1" w:rsidRDefault="004D1466" w:rsidP="00DE1BB0">
            <w:r w:rsidRPr="004D1ED1">
              <w:t>1,0%</w:t>
            </w:r>
          </w:p>
        </w:tc>
        <w:tc>
          <w:tcPr>
            <w:tcW w:w="1723" w:type="dxa"/>
            <w:gridSpan w:val="2"/>
          </w:tcPr>
          <w:p w14:paraId="3418941A" w14:textId="77777777" w:rsidR="00544493" w:rsidRPr="004D1ED1" w:rsidRDefault="00544493" w:rsidP="00DE1BB0"/>
        </w:tc>
        <w:tc>
          <w:tcPr>
            <w:tcW w:w="845" w:type="dxa"/>
          </w:tcPr>
          <w:p w14:paraId="184913E5" w14:textId="4DEAA004" w:rsidR="00544493" w:rsidRPr="004D1ED1" w:rsidRDefault="00544493" w:rsidP="00DE1BB0"/>
        </w:tc>
      </w:tr>
      <w:tr w:rsidR="00544493" w:rsidRPr="004D1ED1" w14:paraId="10D13548" w14:textId="77777777" w:rsidTr="00544493">
        <w:tc>
          <w:tcPr>
            <w:tcW w:w="3926" w:type="dxa"/>
          </w:tcPr>
          <w:p w14:paraId="296777B5" w14:textId="5B0BCBC3" w:rsidR="00544493" w:rsidRPr="004D1ED1" w:rsidRDefault="00544493" w:rsidP="00DE1BB0">
            <w:r w:rsidRPr="004D1ED1">
              <w:t>Úspora prevádzkových nákladov (IAD)</w:t>
            </w:r>
          </w:p>
        </w:tc>
        <w:tc>
          <w:tcPr>
            <w:tcW w:w="1712" w:type="dxa"/>
          </w:tcPr>
          <w:p w14:paraId="6D6143D9" w14:textId="0B542E2C" w:rsidR="00544493" w:rsidRPr="004D1ED1" w:rsidRDefault="00544493" w:rsidP="00DE1BB0">
            <w:r w:rsidRPr="004D1ED1">
              <w:t>7054,40</w:t>
            </w:r>
          </w:p>
        </w:tc>
        <w:tc>
          <w:tcPr>
            <w:tcW w:w="856" w:type="dxa"/>
          </w:tcPr>
          <w:p w14:paraId="4774D5D1" w14:textId="09D284B6" w:rsidR="00544493" w:rsidRPr="004D1ED1" w:rsidRDefault="004D1466" w:rsidP="00DE1BB0">
            <w:r w:rsidRPr="004D1ED1">
              <w:t>0,7%</w:t>
            </w:r>
          </w:p>
        </w:tc>
        <w:tc>
          <w:tcPr>
            <w:tcW w:w="1723" w:type="dxa"/>
            <w:gridSpan w:val="2"/>
          </w:tcPr>
          <w:p w14:paraId="683B81AC" w14:textId="77777777" w:rsidR="00544493" w:rsidRPr="004D1ED1" w:rsidRDefault="00544493" w:rsidP="00DE1BB0"/>
        </w:tc>
        <w:tc>
          <w:tcPr>
            <w:tcW w:w="845" w:type="dxa"/>
          </w:tcPr>
          <w:p w14:paraId="016813EE" w14:textId="62338424" w:rsidR="00544493" w:rsidRPr="004D1ED1" w:rsidRDefault="00544493" w:rsidP="00DE1BB0"/>
        </w:tc>
      </w:tr>
      <w:tr w:rsidR="00544493" w:rsidRPr="004D1ED1" w14:paraId="507B49ED" w14:textId="77777777" w:rsidTr="00544493">
        <w:tc>
          <w:tcPr>
            <w:tcW w:w="3926" w:type="dxa"/>
          </w:tcPr>
          <w:p w14:paraId="0A5AD606" w14:textId="5FB71447" w:rsidR="00544493" w:rsidRPr="004D1ED1" w:rsidRDefault="00544493" w:rsidP="00DE1BB0">
            <w:r w:rsidRPr="004D1ED1">
              <w:t>Emisie znečisťujúcich látok (z IAD)</w:t>
            </w:r>
          </w:p>
        </w:tc>
        <w:tc>
          <w:tcPr>
            <w:tcW w:w="1712" w:type="dxa"/>
          </w:tcPr>
          <w:p w14:paraId="1CC6CBC2" w14:textId="5DFD9EFE" w:rsidR="00544493" w:rsidRPr="004D1ED1" w:rsidRDefault="00544493" w:rsidP="00DE1BB0">
            <w:r w:rsidRPr="004D1ED1">
              <w:t>1248,00</w:t>
            </w:r>
          </w:p>
        </w:tc>
        <w:tc>
          <w:tcPr>
            <w:tcW w:w="856" w:type="dxa"/>
          </w:tcPr>
          <w:p w14:paraId="11838AA6" w14:textId="0CEACD56" w:rsidR="00544493" w:rsidRPr="004D1ED1" w:rsidRDefault="004D1466" w:rsidP="00DE1BB0">
            <w:r w:rsidRPr="004D1ED1">
              <w:t>0,1%</w:t>
            </w:r>
          </w:p>
        </w:tc>
        <w:tc>
          <w:tcPr>
            <w:tcW w:w="1723" w:type="dxa"/>
            <w:gridSpan w:val="2"/>
          </w:tcPr>
          <w:p w14:paraId="7E6ACC7B" w14:textId="77777777" w:rsidR="00544493" w:rsidRPr="004D1ED1" w:rsidRDefault="00544493" w:rsidP="00DE1BB0"/>
        </w:tc>
        <w:tc>
          <w:tcPr>
            <w:tcW w:w="845" w:type="dxa"/>
          </w:tcPr>
          <w:p w14:paraId="59D160CC" w14:textId="6F9AB2B5" w:rsidR="00544493" w:rsidRPr="004D1ED1" w:rsidRDefault="00544493" w:rsidP="00DE1BB0"/>
        </w:tc>
      </w:tr>
      <w:tr w:rsidR="00544493" w:rsidRPr="004D1ED1" w14:paraId="602819DF" w14:textId="77777777" w:rsidTr="00544493">
        <w:tc>
          <w:tcPr>
            <w:tcW w:w="3926" w:type="dxa"/>
          </w:tcPr>
          <w:p w14:paraId="24CFDE71" w14:textId="7637D7CD" w:rsidR="00544493" w:rsidRPr="004D1ED1" w:rsidRDefault="00544493" w:rsidP="00DE1BB0">
            <w:r w:rsidRPr="004D1ED1">
              <w:t>Emisie skleníkových plynov (z IAD)</w:t>
            </w:r>
          </w:p>
        </w:tc>
        <w:tc>
          <w:tcPr>
            <w:tcW w:w="1712" w:type="dxa"/>
          </w:tcPr>
          <w:p w14:paraId="43290CE9" w14:textId="02BDE288" w:rsidR="00544493" w:rsidRPr="004D1ED1" w:rsidRDefault="00544493" w:rsidP="00DE1BB0">
            <w:r w:rsidRPr="004D1ED1">
              <w:t>1259,40</w:t>
            </w:r>
          </w:p>
        </w:tc>
        <w:tc>
          <w:tcPr>
            <w:tcW w:w="856" w:type="dxa"/>
          </w:tcPr>
          <w:p w14:paraId="18E113D3" w14:textId="3F7F007B" w:rsidR="00544493" w:rsidRPr="004D1ED1" w:rsidRDefault="004D1466" w:rsidP="00DE1BB0">
            <w:r w:rsidRPr="004D1ED1">
              <w:t>0,1%</w:t>
            </w:r>
          </w:p>
        </w:tc>
        <w:tc>
          <w:tcPr>
            <w:tcW w:w="1723" w:type="dxa"/>
            <w:gridSpan w:val="2"/>
          </w:tcPr>
          <w:p w14:paraId="0DC23C94" w14:textId="77777777" w:rsidR="00544493" w:rsidRPr="004D1ED1" w:rsidRDefault="00544493" w:rsidP="00DE1BB0"/>
        </w:tc>
        <w:tc>
          <w:tcPr>
            <w:tcW w:w="845" w:type="dxa"/>
          </w:tcPr>
          <w:p w14:paraId="55956A9E" w14:textId="3610F238" w:rsidR="00544493" w:rsidRPr="004D1ED1" w:rsidRDefault="00544493" w:rsidP="00DE1BB0"/>
        </w:tc>
      </w:tr>
      <w:tr w:rsidR="00544493" w:rsidRPr="004D1ED1" w14:paraId="53A19EE1" w14:textId="77777777" w:rsidTr="00544493">
        <w:tc>
          <w:tcPr>
            <w:tcW w:w="3926" w:type="dxa"/>
          </w:tcPr>
          <w:p w14:paraId="7D755E1E" w14:textId="23A18731" w:rsidR="00544493" w:rsidRPr="004D1ED1" w:rsidRDefault="00544493" w:rsidP="00DE1BB0">
            <w:r w:rsidRPr="004D1ED1">
              <w:t>Hluk</w:t>
            </w:r>
          </w:p>
        </w:tc>
        <w:tc>
          <w:tcPr>
            <w:tcW w:w="1712" w:type="dxa"/>
          </w:tcPr>
          <w:p w14:paraId="37B5571B" w14:textId="3B1E9C14" w:rsidR="00544493" w:rsidRPr="004D1ED1" w:rsidRDefault="00544493" w:rsidP="00DE1BB0">
            <w:r w:rsidRPr="004D1ED1">
              <w:t>2255,00</w:t>
            </w:r>
          </w:p>
        </w:tc>
        <w:tc>
          <w:tcPr>
            <w:tcW w:w="856" w:type="dxa"/>
          </w:tcPr>
          <w:p w14:paraId="42DB6E24" w14:textId="6515301D" w:rsidR="00544493" w:rsidRPr="004D1ED1" w:rsidRDefault="004D1466" w:rsidP="00DE1BB0">
            <w:r w:rsidRPr="004D1ED1">
              <w:t>0,2%</w:t>
            </w:r>
          </w:p>
        </w:tc>
        <w:tc>
          <w:tcPr>
            <w:tcW w:w="1723" w:type="dxa"/>
            <w:gridSpan w:val="2"/>
          </w:tcPr>
          <w:p w14:paraId="771D31EB" w14:textId="77777777" w:rsidR="00544493" w:rsidRPr="004D1ED1" w:rsidRDefault="00544493" w:rsidP="00DE1BB0"/>
        </w:tc>
        <w:tc>
          <w:tcPr>
            <w:tcW w:w="845" w:type="dxa"/>
          </w:tcPr>
          <w:p w14:paraId="1AA8AA80" w14:textId="118BB542" w:rsidR="00544493" w:rsidRPr="004D1ED1" w:rsidRDefault="00544493" w:rsidP="00DE1BB0"/>
        </w:tc>
      </w:tr>
      <w:tr w:rsidR="00544493" w:rsidRPr="004D1ED1" w14:paraId="3F3971C5" w14:textId="77777777" w:rsidTr="00544493">
        <w:tc>
          <w:tcPr>
            <w:tcW w:w="3926" w:type="dxa"/>
          </w:tcPr>
          <w:p w14:paraId="7A590848" w14:textId="06F6A1BC" w:rsidR="00544493" w:rsidRPr="004D1ED1" w:rsidRDefault="00544493" w:rsidP="00DE1BB0">
            <w:r w:rsidRPr="004D1ED1">
              <w:t>Nehodovosť</w:t>
            </w:r>
          </w:p>
        </w:tc>
        <w:tc>
          <w:tcPr>
            <w:tcW w:w="1712" w:type="dxa"/>
          </w:tcPr>
          <w:p w14:paraId="6965FC30" w14:textId="33E89EDA" w:rsidR="00544493" w:rsidRPr="004D1ED1" w:rsidRDefault="00544493" w:rsidP="00DE1BB0">
            <w:r w:rsidRPr="004D1ED1">
              <w:t>670</w:t>
            </w:r>
            <w:r w:rsidR="004D1466" w:rsidRPr="004D1ED1">
              <w:t> </w:t>
            </w:r>
            <w:r w:rsidRPr="004D1ED1">
              <w:t>164</w:t>
            </w:r>
            <w:r w:rsidR="004D1466" w:rsidRPr="004D1ED1">
              <w:t>,00</w:t>
            </w:r>
          </w:p>
        </w:tc>
        <w:tc>
          <w:tcPr>
            <w:tcW w:w="856" w:type="dxa"/>
          </w:tcPr>
          <w:p w14:paraId="0888A8AA" w14:textId="3F2143E3" w:rsidR="00544493" w:rsidRPr="004D1ED1" w:rsidRDefault="004D1466" w:rsidP="00DE1BB0">
            <w:r w:rsidRPr="004D1ED1">
              <w:t>70,5%</w:t>
            </w:r>
          </w:p>
        </w:tc>
        <w:tc>
          <w:tcPr>
            <w:tcW w:w="1723" w:type="dxa"/>
            <w:gridSpan w:val="2"/>
          </w:tcPr>
          <w:p w14:paraId="7DBB3275" w14:textId="77777777" w:rsidR="00544493" w:rsidRPr="004D1ED1" w:rsidRDefault="00544493" w:rsidP="00DE1BB0"/>
        </w:tc>
        <w:tc>
          <w:tcPr>
            <w:tcW w:w="845" w:type="dxa"/>
          </w:tcPr>
          <w:p w14:paraId="449FBD99" w14:textId="500BA281" w:rsidR="00544493" w:rsidRPr="004D1ED1" w:rsidRDefault="00544493" w:rsidP="00DE1BB0"/>
        </w:tc>
      </w:tr>
      <w:tr w:rsidR="00544493" w:rsidRPr="004D1ED1" w14:paraId="6682715B" w14:textId="77777777" w:rsidTr="00544493">
        <w:tc>
          <w:tcPr>
            <w:tcW w:w="3926" w:type="dxa"/>
          </w:tcPr>
          <w:p w14:paraId="19CE6E95" w14:textId="3BDE398E" w:rsidR="00544493" w:rsidRPr="004D1ED1" w:rsidRDefault="00544493" w:rsidP="00DE1BB0">
            <w:r w:rsidRPr="004D1ED1">
              <w:t>Spolu</w:t>
            </w:r>
          </w:p>
        </w:tc>
        <w:tc>
          <w:tcPr>
            <w:tcW w:w="1712" w:type="dxa"/>
          </w:tcPr>
          <w:p w14:paraId="5710F58D" w14:textId="77777777" w:rsidR="00544493" w:rsidRPr="004D1ED1" w:rsidRDefault="00544493" w:rsidP="00DE1BB0"/>
        </w:tc>
        <w:tc>
          <w:tcPr>
            <w:tcW w:w="856" w:type="dxa"/>
          </w:tcPr>
          <w:p w14:paraId="40A9038E" w14:textId="77777777" w:rsidR="00544493" w:rsidRPr="004D1ED1" w:rsidRDefault="00544493" w:rsidP="00DE1BB0"/>
        </w:tc>
        <w:tc>
          <w:tcPr>
            <w:tcW w:w="1723" w:type="dxa"/>
            <w:gridSpan w:val="2"/>
          </w:tcPr>
          <w:p w14:paraId="2EFA368E" w14:textId="77777777" w:rsidR="00544493" w:rsidRPr="004D1ED1" w:rsidRDefault="00544493" w:rsidP="00DE1BB0"/>
        </w:tc>
        <w:tc>
          <w:tcPr>
            <w:tcW w:w="845" w:type="dxa"/>
          </w:tcPr>
          <w:p w14:paraId="1F74FFB4" w14:textId="0E0E5649" w:rsidR="00544493" w:rsidRPr="004D1ED1" w:rsidRDefault="00544493" w:rsidP="00DE1BB0"/>
        </w:tc>
      </w:tr>
    </w:tbl>
    <w:p w14:paraId="2EEDFBCA" w14:textId="77777777" w:rsidR="00BC0A52" w:rsidRPr="004D1ED1" w:rsidRDefault="00BC0A52" w:rsidP="00DE1BB0"/>
    <w:p w14:paraId="02433703" w14:textId="6826BFE5" w:rsidR="00BC7D79" w:rsidRDefault="00BC7D79" w:rsidP="00DE1BB0"/>
    <w:p w14:paraId="319CAEED" w14:textId="62EF81CD" w:rsidR="002B0434" w:rsidRDefault="002B0434" w:rsidP="00DE1BB0"/>
    <w:p w14:paraId="19538F29" w14:textId="35A7CAC6" w:rsidR="002B0434" w:rsidRDefault="002B0434" w:rsidP="00DE1BB0"/>
    <w:p w14:paraId="011ACE39" w14:textId="7C660E56" w:rsidR="002B0434" w:rsidRDefault="002B0434" w:rsidP="00DE1BB0"/>
    <w:p w14:paraId="7240EAD5" w14:textId="3F7DE0D8" w:rsidR="002B0434" w:rsidRDefault="002B0434" w:rsidP="00DE1BB0"/>
    <w:p w14:paraId="5B2794DC" w14:textId="1886A653" w:rsidR="002B0434" w:rsidRDefault="002B0434" w:rsidP="00DE1BB0"/>
    <w:p w14:paraId="00A76EEF" w14:textId="325783D1" w:rsidR="002B0434" w:rsidRDefault="002B0434" w:rsidP="00DE1BB0"/>
    <w:p w14:paraId="6268BD38" w14:textId="672FFFF2" w:rsidR="002B0434" w:rsidRDefault="002B0434" w:rsidP="00DE1BB0"/>
    <w:p w14:paraId="7D1608B4" w14:textId="77777777" w:rsidR="002B0434" w:rsidRPr="004D1ED1" w:rsidRDefault="002B0434" w:rsidP="00DE1BB0"/>
    <w:p w14:paraId="377ACCF8" w14:textId="77777777" w:rsidR="002B0434" w:rsidRPr="004D1ED1" w:rsidRDefault="002B0434" w:rsidP="00DE1BB0"/>
    <w:sectPr w:rsidR="002B0434" w:rsidRPr="004D1ED1" w:rsidSect="00BC7D79">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73688" w14:textId="77777777" w:rsidR="00DF414E" w:rsidRDefault="00DF414E" w:rsidP="00DE1BB0">
      <w:r>
        <w:separator/>
      </w:r>
    </w:p>
  </w:endnote>
  <w:endnote w:type="continuationSeparator" w:id="0">
    <w:p w14:paraId="53C84507" w14:textId="77777777" w:rsidR="00DF414E" w:rsidRDefault="00DF414E" w:rsidP="00DE1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7F53D" w14:textId="77777777" w:rsidR="00DF414E" w:rsidRDefault="00DF414E" w:rsidP="00DE1BB0">
      <w:r>
        <w:separator/>
      </w:r>
    </w:p>
  </w:footnote>
  <w:footnote w:type="continuationSeparator" w:id="0">
    <w:p w14:paraId="7FA5C667" w14:textId="77777777" w:rsidR="00DF414E" w:rsidRDefault="00DF414E" w:rsidP="00DE1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2EA6"/>
    <w:multiLevelType w:val="hybridMultilevel"/>
    <w:tmpl w:val="BCD495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3E73792"/>
    <w:multiLevelType w:val="multilevel"/>
    <w:tmpl w:val="9D0A386C"/>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792" w:hanging="432"/>
      </w:pPr>
      <w:rPr>
        <w:rFonts w:hint="default"/>
      </w:rPr>
    </w:lvl>
    <w:lvl w:ilvl="2">
      <w:start w:val="1"/>
      <w:numFmt w:val="decimal"/>
      <w:pStyle w:val="Nadpis3"/>
      <w:lvlText w:val="%1.%2.%3."/>
      <w:lvlJc w:val="left"/>
      <w:pPr>
        <w:ind w:left="1224" w:hanging="504"/>
      </w:pPr>
      <w:rPr>
        <w:rFonts w:asciiTheme="majorHAnsi" w:hAnsiTheme="majorHAnsi" w:cstheme="majorHAnsi"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B830AAE"/>
    <w:multiLevelType w:val="hybridMultilevel"/>
    <w:tmpl w:val="CED41E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F865CDF"/>
    <w:multiLevelType w:val="hybridMultilevel"/>
    <w:tmpl w:val="33B630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2E06D64"/>
    <w:multiLevelType w:val="hybridMultilevel"/>
    <w:tmpl w:val="A254FDC8"/>
    <w:lvl w:ilvl="0" w:tplc="041B001B">
      <w:start w:val="1"/>
      <w:numFmt w:val="lowerRoman"/>
      <w:lvlText w:val="%1."/>
      <w:lvlJc w:val="righ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36273647"/>
    <w:multiLevelType w:val="hybridMultilevel"/>
    <w:tmpl w:val="59FA488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6B43594"/>
    <w:multiLevelType w:val="hybridMultilevel"/>
    <w:tmpl w:val="594E5C06"/>
    <w:lvl w:ilvl="0" w:tplc="041B0001">
      <w:start w:val="1"/>
      <w:numFmt w:val="bullet"/>
      <w:lvlText w:val=""/>
      <w:lvlJc w:val="left"/>
      <w:pPr>
        <w:ind w:left="720" w:hanging="360"/>
      </w:pPr>
      <w:rPr>
        <w:rFonts w:ascii="Symbol" w:hAnsi="Symbol" w:hint="default"/>
      </w:rPr>
    </w:lvl>
    <w:lvl w:ilvl="1" w:tplc="E592B29A">
      <w:numFmt w:val="bullet"/>
      <w:lvlText w:val="-"/>
      <w:lvlJc w:val="left"/>
      <w:pPr>
        <w:ind w:left="1440" w:hanging="360"/>
      </w:pPr>
      <w:rPr>
        <w:rFonts w:ascii="Times New Roman" w:eastAsiaTheme="minorHAnsi"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D255494"/>
    <w:multiLevelType w:val="hybridMultilevel"/>
    <w:tmpl w:val="00F27B40"/>
    <w:lvl w:ilvl="0" w:tplc="37DE8B3A">
      <w:start w:val="1"/>
      <w:numFmt w:val="bullet"/>
      <w:lvlText w:val="‐"/>
      <w:lvlJc w:val="left"/>
      <w:pPr>
        <w:ind w:left="360" w:hanging="360"/>
      </w:pPr>
      <w:rPr>
        <w:rFonts w:ascii="Times New Roman"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52E862D0"/>
    <w:multiLevelType w:val="hybridMultilevel"/>
    <w:tmpl w:val="4ECC41D0"/>
    <w:lvl w:ilvl="0" w:tplc="041B0011">
      <w:start w:val="1"/>
      <w:numFmt w:val="decimal"/>
      <w:lvlText w:val="%1)"/>
      <w:lvlJc w:val="left"/>
      <w:pPr>
        <w:ind w:left="720" w:hanging="360"/>
      </w:pPr>
      <w:rPr>
        <w:rFonts w:hint="default"/>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849374D"/>
    <w:multiLevelType w:val="hybridMultilevel"/>
    <w:tmpl w:val="6EAC308A"/>
    <w:lvl w:ilvl="0" w:tplc="7E4A44C4">
      <w:start w:val="1"/>
      <w:numFmt w:val="bullet"/>
      <w:pStyle w:val="Odsekzoznamu"/>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65EB3BC1"/>
    <w:multiLevelType w:val="hybridMultilevel"/>
    <w:tmpl w:val="1D1ACFA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692C013D"/>
    <w:multiLevelType w:val="hybridMultilevel"/>
    <w:tmpl w:val="6874B54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11"/>
  </w:num>
  <w:num w:numId="3">
    <w:abstractNumId w:val="8"/>
  </w:num>
  <w:num w:numId="4">
    <w:abstractNumId w:val="9"/>
  </w:num>
  <w:num w:numId="5">
    <w:abstractNumId w:val="7"/>
  </w:num>
  <w:num w:numId="6">
    <w:abstractNumId w:val="5"/>
  </w:num>
  <w:num w:numId="7">
    <w:abstractNumId w:val="10"/>
  </w:num>
  <w:num w:numId="8">
    <w:abstractNumId w:val="6"/>
  </w:num>
  <w:num w:numId="9">
    <w:abstractNumId w:val="2"/>
  </w:num>
  <w:num w:numId="10">
    <w:abstractNumId w:val="0"/>
  </w:num>
  <w:num w:numId="11">
    <w:abstractNumId w:val="3"/>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68D"/>
    <w:rsid w:val="000267BD"/>
    <w:rsid w:val="0009361F"/>
    <w:rsid w:val="00095D46"/>
    <w:rsid w:val="000977D6"/>
    <w:rsid w:val="000B06E7"/>
    <w:rsid w:val="000B63C8"/>
    <w:rsid w:val="000E749C"/>
    <w:rsid w:val="000F420C"/>
    <w:rsid w:val="00107EA8"/>
    <w:rsid w:val="00121D63"/>
    <w:rsid w:val="00143673"/>
    <w:rsid w:val="00144E84"/>
    <w:rsid w:val="00146088"/>
    <w:rsid w:val="00173C6A"/>
    <w:rsid w:val="00181EA4"/>
    <w:rsid w:val="001839DB"/>
    <w:rsid w:val="001C1785"/>
    <w:rsid w:val="001C1789"/>
    <w:rsid w:val="001C1FD6"/>
    <w:rsid w:val="001C3645"/>
    <w:rsid w:val="001C4CAC"/>
    <w:rsid w:val="00221C45"/>
    <w:rsid w:val="00225BBB"/>
    <w:rsid w:val="002314EE"/>
    <w:rsid w:val="002636F1"/>
    <w:rsid w:val="002813CB"/>
    <w:rsid w:val="002853C4"/>
    <w:rsid w:val="0029344A"/>
    <w:rsid w:val="00294DFF"/>
    <w:rsid w:val="002A263A"/>
    <w:rsid w:val="002B0434"/>
    <w:rsid w:val="002E698F"/>
    <w:rsid w:val="002E771B"/>
    <w:rsid w:val="003003F2"/>
    <w:rsid w:val="00303588"/>
    <w:rsid w:val="00310D69"/>
    <w:rsid w:val="00311A32"/>
    <w:rsid w:val="00314C80"/>
    <w:rsid w:val="0032762B"/>
    <w:rsid w:val="00340A59"/>
    <w:rsid w:val="00340F9F"/>
    <w:rsid w:val="003565F8"/>
    <w:rsid w:val="00374E10"/>
    <w:rsid w:val="0038341D"/>
    <w:rsid w:val="0038403B"/>
    <w:rsid w:val="003856B2"/>
    <w:rsid w:val="003B3D97"/>
    <w:rsid w:val="003D64BD"/>
    <w:rsid w:val="003F1094"/>
    <w:rsid w:val="003F1AAA"/>
    <w:rsid w:val="003F2676"/>
    <w:rsid w:val="003F51F9"/>
    <w:rsid w:val="003F5510"/>
    <w:rsid w:val="003F7A43"/>
    <w:rsid w:val="003F7AE0"/>
    <w:rsid w:val="003F7DE4"/>
    <w:rsid w:val="004214C1"/>
    <w:rsid w:val="00435868"/>
    <w:rsid w:val="004412D0"/>
    <w:rsid w:val="00441CD7"/>
    <w:rsid w:val="004633DE"/>
    <w:rsid w:val="004722B4"/>
    <w:rsid w:val="00492426"/>
    <w:rsid w:val="004A7CF4"/>
    <w:rsid w:val="004D1466"/>
    <w:rsid w:val="004D1ED1"/>
    <w:rsid w:val="004D35CA"/>
    <w:rsid w:val="004D59F4"/>
    <w:rsid w:val="004D7F13"/>
    <w:rsid w:val="00522D71"/>
    <w:rsid w:val="005324B7"/>
    <w:rsid w:val="00542B18"/>
    <w:rsid w:val="00544493"/>
    <w:rsid w:val="00551C70"/>
    <w:rsid w:val="00573404"/>
    <w:rsid w:val="00580B15"/>
    <w:rsid w:val="005976E7"/>
    <w:rsid w:val="00597C5A"/>
    <w:rsid w:val="005A51B4"/>
    <w:rsid w:val="005B1298"/>
    <w:rsid w:val="005B6A72"/>
    <w:rsid w:val="005E01B2"/>
    <w:rsid w:val="00606FC3"/>
    <w:rsid w:val="00614611"/>
    <w:rsid w:val="00637FC3"/>
    <w:rsid w:val="006432E2"/>
    <w:rsid w:val="00646486"/>
    <w:rsid w:val="006523FF"/>
    <w:rsid w:val="0067510F"/>
    <w:rsid w:val="006918C6"/>
    <w:rsid w:val="006A4292"/>
    <w:rsid w:val="006B173C"/>
    <w:rsid w:val="006B2DBD"/>
    <w:rsid w:val="006C2CF5"/>
    <w:rsid w:val="006D28D7"/>
    <w:rsid w:val="006F01B5"/>
    <w:rsid w:val="007235CA"/>
    <w:rsid w:val="00780F5D"/>
    <w:rsid w:val="007842DF"/>
    <w:rsid w:val="007B06C2"/>
    <w:rsid w:val="007B4858"/>
    <w:rsid w:val="007D23E8"/>
    <w:rsid w:val="00802D50"/>
    <w:rsid w:val="0081335F"/>
    <w:rsid w:val="00820F3E"/>
    <w:rsid w:val="00836C92"/>
    <w:rsid w:val="00842F04"/>
    <w:rsid w:val="008603C8"/>
    <w:rsid w:val="00866099"/>
    <w:rsid w:val="00866F4D"/>
    <w:rsid w:val="008758FA"/>
    <w:rsid w:val="008866FA"/>
    <w:rsid w:val="008C58C7"/>
    <w:rsid w:val="008D138C"/>
    <w:rsid w:val="008D2884"/>
    <w:rsid w:val="008D6D0A"/>
    <w:rsid w:val="008F12D4"/>
    <w:rsid w:val="008F493E"/>
    <w:rsid w:val="009004D6"/>
    <w:rsid w:val="00943955"/>
    <w:rsid w:val="00994004"/>
    <w:rsid w:val="009A2B80"/>
    <w:rsid w:val="009A3A5A"/>
    <w:rsid w:val="009C31C5"/>
    <w:rsid w:val="009F5297"/>
    <w:rsid w:val="00A4270F"/>
    <w:rsid w:val="00A46130"/>
    <w:rsid w:val="00A51E12"/>
    <w:rsid w:val="00A64246"/>
    <w:rsid w:val="00A73553"/>
    <w:rsid w:val="00A74CA3"/>
    <w:rsid w:val="00A93BE8"/>
    <w:rsid w:val="00A94CEC"/>
    <w:rsid w:val="00B0024C"/>
    <w:rsid w:val="00B21E15"/>
    <w:rsid w:val="00B2528E"/>
    <w:rsid w:val="00B400D1"/>
    <w:rsid w:val="00B50CA1"/>
    <w:rsid w:val="00B707C3"/>
    <w:rsid w:val="00B8023D"/>
    <w:rsid w:val="00B8171F"/>
    <w:rsid w:val="00B82972"/>
    <w:rsid w:val="00B83465"/>
    <w:rsid w:val="00B86BEF"/>
    <w:rsid w:val="00B93F04"/>
    <w:rsid w:val="00BA29C8"/>
    <w:rsid w:val="00BB2567"/>
    <w:rsid w:val="00BC0A52"/>
    <w:rsid w:val="00BC465B"/>
    <w:rsid w:val="00BC7D79"/>
    <w:rsid w:val="00BD7E64"/>
    <w:rsid w:val="00BE6B69"/>
    <w:rsid w:val="00C119E8"/>
    <w:rsid w:val="00C12B24"/>
    <w:rsid w:val="00C14E61"/>
    <w:rsid w:val="00C321A2"/>
    <w:rsid w:val="00C509AE"/>
    <w:rsid w:val="00C6495C"/>
    <w:rsid w:val="00C9068D"/>
    <w:rsid w:val="00C90CE8"/>
    <w:rsid w:val="00C95E93"/>
    <w:rsid w:val="00CA4148"/>
    <w:rsid w:val="00CC3196"/>
    <w:rsid w:val="00CC3504"/>
    <w:rsid w:val="00CE0F7B"/>
    <w:rsid w:val="00CF2286"/>
    <w:rsid w:val="00D0493A"/>
    <w:rsid w:val="00D04EBD"/>
    <w:rsid w:val="00D07BF1"/>
    <w:rsid w:val="00D11696"/>
    <w:rsid w:val="00D4055E"/>
    <w:rsid w:val="00D6556A"/>
    <w:rsid w:val="00D66E4A"/>
    <w:rsid w:val="00D72BAE"/>
    <w:rsid w:val="00D90299"/>
    <w:rsid w:val="00DA4117"/>
    <w:rsid w:val="00DD614D"/>
    <w:rsid w:val="00DE1BB0"/>
    <w:rsid w:val="00DE573E"/>
    <w:rsid w:val="00DF3A94"/>
    <w:rsid w:val="00DF414E"/>
    <w:rsid w:val="00E34946"/>
    <w:rsid w:val="00E42C86"/>
    <w:rsid w:val="00E440CE"/>
    <w:rsid w:val="00E53C7A"/>
    <w:rsid w:val="00E711C3"/>
    <w:rsid w:val="00E84BAF"/>
    <w:rsid w:val="00EA1376"/>
    <w:rsid w:val="00EB1B72"/>
    <w:rsid w:val="00EC0230"/>
    <w:rsid w:val="00ED6A23"/>
    <w:rsid w:val="00ED7DC2"/>
    <w:rsid w:val="00F16364"/>
    <w:rsid w:val="00F47BC0"/>
    <w:rsid w:val="00F674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18E05"/>
  <w15:chartTrackingRefBased/>
  <w15:docId w15:val="{18C2EDD5-DEB2-4A75-82F5-F7D37719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E1BB0"/>
    <w:pPr>
      <w:spacing w:before="120" w:after="0"/>
      <w:jc w:val="both"/>
    </w:pPr>
    <w:rPr>
      <w:rFonts w:cstheme="minorHAnsi"/>
    </w:rPr>
  </w:style>
  <w:style w:type="paragraph" w:styleId="Nadpis1">
    <w:name w:val="heading 1"/>
    <w:basedOn w:val="Normlny"/>
    <w:next w:val="Normlny"/>
    <w:link w:val="Nadpis1Char"/>
    <w:uiPriority w:val="9"/>
    <w:qFormat/>
    <w:rsid w:val="007235CA"/>
    <w:pPr>
      <w:keepNext/>
      <w:keepLines/>
      <w:numPr>
        <w:numId w:val="12"/>
      </w:numPr>
      <w:spacing w:before="240" w:after="12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y"/>
    <w:link w:val="Nadpis2Char"/>
    <w:uiPriority w:val="9"/>
    <w:unhideWhenUsed/>
    <w:qFormat/>
    <w:rsid w:val="007B4858"/>
    <w:pPr>
      <w:numPr>
        <w:ilvl w:val="1"/>
      </w:numPr>
      <w:spacing w:before="120"/>
      <w:outlineLvl w:val="1"/>
    </w:pPr>
    <w:rPr>
      <w:sz w:val="26"/>
      <w:szCs w:val="26"/>
    </w:rPr>
  </w:style>
  <w:style w:type="paragraph" w:styleId="Nadpis3">
    <w:name w:val="heading 3"/>
    <w:basedOn w:val="Nadpis2"/>
    <w:next w:val="Normlny"/>
    <w:link w:val="Nadpis3Char"/>
    <w:uiPriority w:val="9"/>
    <w:unhideWhenUsed/>
    <w:qFormat/>
    <w:rsid w:val="00B50CA1"/>
    <w:pPr>
      <w:numPr>
        <w:ilvl w:val="2"/>
      </w:numPr>
      <w:spacing w:after="60"/>
      <w:ind w:left="505" w:hanging="505"/>
      <w:outlineLvl w:val="2"/>
    </w:pPr>
    <w:rPr>
      <w:sz w:val="24"/>
      <w:szCs w:val="24"/>
    </w:rPr>
  </w:style>
  <w:style w:type="paragraph" w:styleId="Nadpis4">
    <w:name w:val="heading 4"/>
    <w:basedOn w:val="Normlny"/>
    <w:next w:val="Normlny"/>
    <w:link w:val="Nadpis4Char"/>
    <w:uiPriority w:val="9"/>
    <w:unhideWhenUsed/>
    <w:qFormat/>
    <w:rsid w:val="00DE1BB0"/>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unhideWhenUsed/>
    <w:qFormat/>
    <w:rsid w:val="00492426"/>
    <w:pPr>
      <w:keepNext/>
      <w:keepLines/>
      <w:outlineLvl w:val="4"/>
    </w:pPr>
    <w:rPr>
      <w:rFonts w:eastAsiaTheme="majorEastAsia"/>
      <w:i/>
      <w:color w:val="2E74B5" w:themeColor="accent1" w:themeShade="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next w:val="Normlny"/>
    <w:uiPriority w:val="34"/>
    <w:qFormat/>
    <w:rsid w:val="00BD7E64"/>
    <w:pPr>
      <w:numPr>
        <w:numId w:val="4"/>
      </w:numPr>
      <w:spacing w:before="0"/>
      <w:contextualSpacing/>
    </w:pPr>
  </w:style>
  <w:style w:type="table" w:styleId="Mriekatabuky">
    <w:name w:val="Table Grid"/>
    <w:basedOn w:val="Normlnatabuka"/>
    <w:uiPriority w:val="39"/>
    <w:rsid w:val="003F1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cia">
    <w:name w:val="Quote"/>
    <w:basedOn w:val="Normlny"/>
    <w:next w:val="Normlny"/>
    <w:link w:val="CitciaChar"/>
    <w:uiPriority w:val="29"/>
    <w:qFormat/>
    <w:rsid w:val="00492426"/>
    <w:pPr>
      <w:spacing w:before="0" w:after="120"/>
      <w:ind w:left="284"/>
      <w:jc w:val="left"/>
    </w:pPr>
    <w:rPr>
      <w:i/>
      <w:iCs/>
      <w:color w:val="404040" w:themeColor="text1" w:themeTint="BF"/>
      <w:sz w:val="18"/>
    </w:rPr>
  </w:style>
  <w:style w:type="character" w:customStyle="1" w:styleId="CitciaChar">
    <w:name w:val="Citácia Char"/>
    <w:basedOn w:val="Predvolenpsmoodseku"/>
    <w:link w:val="Citcia"/>
    <w:uiPriority w:val="29"/>
    <w:rsid w:val="00492426"/>
    <w:rPr>
      <w:rFonts w:cstheme="minorHAnsi"/>
      <w:i/>
      <w:iCs/>
      <w:color w:val="404040" w:themeColor="text1" w:themeTint="BF"/>
      <w:sz w:val="18"/>
    </w:rPr>
  </w:style>
  <w:style w:type="character" w:styleId="Intenzvnezvraznenie">
    <w:name w:val="Intense Emphasis"/>
    <w:basedOn w:val="Predvolenpsmoodseku"/>
    <w:uiPriority w:val="21"/>
    <w:qFormat/>
    <w:rsid w:val="00B8171F"/>
    <w:rPr>
      <w:i/>
      <w:iCs/>
      <w:color w:val="5B9BD5" w:themeColor="accent1"/>
    </w:rPr>
  </w:style>
  <w:style w:type="character" w:styleId="Odkaznakomentr">
    <w:name w:val="annotation reference"/>
    <w:basedOn w:val="Predvolenpsmoodseku"/>
    <w:uiPriority w:val="99"/>
    <w:semiHidden/>
    <w:unhideWhenUsed/>
    <w:rsid w:val="008F12D4"/>
    <w:rPr>
      <w:sz w:val="16"/>
      <w:szCs w:val="16"/>
    </w:rPr>
  </w:style>
  <w:style w:type="paragraph" w:styleId="Textkomentra">
    <w:name w:val="annotation text"/>
    <w:basedOn w:val="Normlny"/>
    <w:link w:val="TextkomentraChar"/>
    <w:uiPriority w:val="99"/>
    <w:unhideWhenUsed/>
    <w:rsid w:val="008F12D4"/>
    <w:pPr>
      <w:spacing w:line="240" w:lineRule="auto"/>
    </w:pPr>
    <w:rPr>
      <w:sz w:val="20"/>
      <w:szCs w:val="20"/>
    </w:rPr>
  </w:style>
  <w:style w:type="character" w:customStyle="1" w:styleId="TextkomentraChar">
    <w:name w:val="Text komentára Char"/>
    <w:basedOn w:val="Predvolenpsmoodseku"/>
    <w:link w:val="Textkomentra"/>
    <w:uiPriority w:val="99"/>
    <w:rsid w:val="008F12D4"/>
    <w:rPr>
      <w:sz w:val="20"/>
      <w:szCs w:val="20"/>
    </w:rPr>
  </w:style>
  <w:style w:type="paragraph" w:styleId="Predmetkomentra">
    <w:name w:val="annotation subject"/>
    <w:basedOn w:val="Textkomentra"/>
    <w:next w:val="Textkomentra"/>
    <w:link w:val="PredmetkomentraChar"/>
    <w:uiPriority w:val="99"/>
    <w:semiHidden/>
    <w:unhideWhenUsed/>
    <w:rsid w:val="008F12D4"/>
    <w:rPr>
      <w:b/>
      <w:bCs/>
    </w:rPr>
  </w:style>
  <w:style w:type="character" w:customStyle="1" w:styleId="PredmetkomentraChar">
    <w:name w:val="Predmet komentára Char"/>
    <w:basedOn w:val="TextkomentraChar"/>
    <w:link w:val="Predmetkomentra"/>
    <w:uiPriority w:val="99"/>
    <w:semiHidden/>
    <w:rsid w:val="008F12D4"/>
    <w:rPr>
      <w:b/>
      <w:bCs/>
      <w:sz w:val="20"/>
      <w:szCs w:val="20"/>
    </w:rPr>
  </w:style>
  <w:style w:type="paragraph" w:styleId="Textbubliny">
    <w:name w:val="Balloon Text"/>
    <w:basedOn w:val="Normlny"/>
    <w:link w:val="TextbublinyChar"/>
    <w:uiPriority w:val="99"/>
    <w:semiHidden/>
    <w:unhideWhenUsed/>
    <w:rsid w:val="008F12D4"/>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F12D4"/>
    <w:rPr>
      <w:rFonts w:ascii="Segoe UI" w:hAnsi="Segoe UI" w:cs="Segoe UI"/>
      <w:sz w:val="18"/>
      <w:szCs w:val="18"/>
    </w:rPr>
  </w:style>
  <w:style w:type="paragraph" w:styleId="Textpoznmkypodiarou">
    <w:name w:val="footnote text"/>
    <w:basedOn w:val="Normlny"/>
    <w:link w:val="TextpoznmkypodiarouChar"/>
    <w:uiPriority w:val="99"/>
    <w:unhideWhenUsed/>
    <w:rsid w:val="00BC465B"/>
    <w:pPr>
      <w:spacing w:line="240" w:lineRule="auto"/>
    </w:pPr>
    <w:rPr>
      <w:sz w:val="20"/>
      <w:szCs w:val="20"/>
    </w:rPr>
  </w:style>
  <w:style w:type="character" w:customStyle="1" w:styleId="TextpoznmkypodiarouChar">
    <w:name w:val="Text poznámky pod čiarou Char"/>
    <w:basedOn w:val="Predvolenpsmoodseku"/>
    <w:link w:val="Textpoznmkypodiarou"/>
    <w:uiPriority w:val="99"/>
    <w:rsid w:val="00BC465B"/>
    <w:rPr>
      <w:sz w:val="20"/>
      <w:szCs w:val="20"/>
    </w:rPr>
  </w:style>
  <w:style w:type="character" w:styleId="Odkaznapoznmkupodiarou">
    <w:name w:val="footnote reference"/>
    <w:basedOn w:val="Predvolenpsmoodseku"/>
    <w:uiPriority w:val="99"/>
    <w:semiHidden/>
    <w:unhideWhenUsed/>
    <w:rsid w:val="00BC465B"/>
    <w:rPr>
      <w:vertAlign w:val="superscript"/>
    </w:rPr>
  </w:style>
  <w:style w:type="character" w:customStyle="1" w:styleId="Nadpis1Char">
    <w:name w:val="Nadpis 1 Char"/>
    <w:basedOn w:val="Predvolenpsmoodseku"/>
    <w:link w:val="Nadpis1"/>
    <w:uiPriority w:val="9"/>
    <w:rsid w:val="007235CA"/>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Predvolenpsmoodseku"/>
    <w:link w:val="Nadpis2"/>
    <w:uiPriority w:val="9"/>
    <w:rsid w:val="007B4858"/>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uiPriority w:val="9"/>
    <w:rsid w:val="00B50CA1"/>
    <w:rPr>
      <w:rFonts w:asciiTheme="majorHAnsi" w:eastAsiaTheme="majorEastAsia" w:hAnsiTheme="majorHAnsi" w:cstheme="majorBidi"/>
      <w:color w:val="2E74B5" w:themeColor="accent1" w:themeShade="BF"/>
      <w:sz w:val="24"/>
      <w:szCs w:val="24"/>
    </w:rPr>
  </w:style>
  <w:style w:type="character" w:customStyle="1" w:styleId="Nadpis4Char">
    <w:name w:val="Nadpis 4 Char"/>
    <w:basedOn w:val="Predvolenpsmoodseku"/>
    <w:link w:val="Nadpis4"/>
    <w:uiPriority w:val="9"/>
    <w:rsid w:val="00DE1BB0"/>
    <w:rPr>
      <w:rFonts w:asciiTheme="majorHAnsi" w:eastAsiaTheme="majorEastAsia" w:hAnsiTheme="majorHAnsi" w:cstheme="majorBidi"/>
      <w:i/>
      <w:iCs/>
      <w:color w:val="2E74B5" w:themeColor="accent1" w:themeShade="BF"/>
    </w:rPr>
  </w:style>
  <w:style w:type="paragraph" w:customStyle="1" w:styleId="Poznmka">
    <w:name w:val="Poznámka"/>
    <w:basedOn w:val="Normlny"/>
    <w:link w:val="PoznmkaChar"/>
    <w:qFormat/>
    <w:rsid w:val="00492426"/>
    <w:pPr>
      <w:spacing w:before="60" w:after="60"/>
      <w:ind w:left="357"/>
    </w:pPr>
    <w:rPr>
      <w:i/>
      <w:iCs/>
      <w:sz w:val="20"/>
      <w:szCs w:val="20"/>
    </w:rPr>
  </w:style>
  <w:style w:type="paragraph" w:styleId="Bezriadkovania">
    <w:name w:val="No Spacing"/>
    <w:uiPriority w:val="1"/>
    <w:qFormat/>
    <w:rsid w:val="00492426"/>
    <w:pPr>
      <w:spacing w:after="0" w:line="240" w:lineRule="auto"/>
      <w:jc w:val="both"/>
    </w:pPr>
    <w:rPr>
      <w:rFonts w:cstheme="minorHAnsi"/>
      <w:sz w:val="20"/>
    </w:rPr>
  </w:style>
  <w:style w:type="character" w:customStyle="1" w:styleId="PoznmkaChar">
    <w:name w:val="Poznámka Char"/>
    <w:basedOn w:val="Predvolenpsmoodseku"/>
    <w:link w:val="Poznmka"/>
    <w:rsid w:val="00492426"/>
    <w:rPr>
      <w:rFonts w:cstheme="minorHAnsi"/>
      <w:i/>
      <w:iCs/>
      <w:sz w:val="20"/>
      <w:szCs w:val="20"/>
    </w:rPr>
  </w:style>
  <w:style w:type="character" w:customStyle="1" w:styleId="Nadpis5Char">
    <w:name w:val="Nadpis 5 Char"/>
    <w:basedOn w:val="Predvolenpsmoodseku"/>
    <w:link w:val="Nadpis5"/>
    <w:uiPriority w:val="9"/>
    <w:rsid w:val="00492426"/>
    <w:rPr>
      <w:rFonts w:eastAsiaTheme="majorEastAsia" w:cstheme="minorHAnsi"/>
      <w:i/>
      <w:color w:val="2E74B5" w:themeColor="accent1" w:themeShade="BF"/>
      <w:sz w:val="20"/>
      <w:szCs w:val="20"/>
    </w:rPr>
  </w:style>
  <w:style w:type="paragraph" w:styleId="Nzov">
    <w:name w:val="Title"/>
    <w:basedOn w:val="Normlny"/>
    <w:next w:val="Normlny"/>
    <w:link w:val="NzovChar"/>
    <w:uiPriority w:val="10"/>
    <w:qFormat/>
    <w:rsid w:val="008F493E"/>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8F493E"/>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8F493E"/>
    <w:pPr>
      <w:numPr>
        <w:ilvl w:val="1"/>
      </w:numPr>
      <w:contextualSpacing/>
      <w:jc w:val="center"/>
    </w:pPr>
    <w:rPr>
      <w:rFonts w:eastAsiaTheme="minorEastAsia" w:cstheme="minorBidi"/>
      <w:color w:val="8496B0" w:themeColor="text2" w:themeTint="99"/>
      <w:spacing w:val="15"/>
      <w:sz w:val="36"/>
      <w:szCs w:val="36"/>
    </w:rPr>
  </w:style>
  <w:style w:type="character" w:customStyle="1" w:styleId="PodtitulChar">
    <w:name w:val="Podtitul Char"/>
    <w:basedOn w:val="Predvolenpsmoodseku"/>
    <w:link w:val="Podtitul"/>
    <w:uiPriority w:val="11"/>
    <w:rsid w:val="008F493E"/>
    <w:rPr>
      <w:rFonts w:eastAsiaTheme="minorEastAsia"/>
      <w:color w:val="8496B0" w:themeColor="text2" w:themeTint="99"/>
      <w:spacing w:val="15"/>
      <w:sz w:val="36"/>
      <w:szCs w:val="36"/>
    </w:rPr>
  </w:style>
  <w:style w:type="character" w:customStyle="1" w:styleId="fontstyle01">
    <w:name w:val="fontstyle01"/>
    <w:basedOn w:val="Predvolenpsmoodseku"/>
    <w:rsid w:val="002853C4"/>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88145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19</Pages>
  <Words>6809</Words>
  <Characters>38812</Characters>
  <Application>Microsoft Office Word</Application>
  <DocSecurity>0</DocSecurity>
  <Lines>323</Lines>
  <Paragraphs>91</Paragraphs>
  <ScaleCrop>false</ScaleCrop>
  <HeadingPairs>
    <vt:vector size="2" baseType="variant">
      <vt:variant>
        <vt:lpstr>Názov</vt:lpstr>
      </vt:variant>
      <vt:variant>
        <vt:i4>1</vt:i4>
      </vt:variant>
    </vt:vector>
  </HeadingPairs>
  <TitlesOfParts>
    <vt:vector size="1" baseType="lpstr">
      <vt:lpstr/>
    </vt:vector>
  </TitlesOfParts>
  <Company>MDV SR</Company>
  <LinksUpToDate>false</LinksUpToDate>
  <CharactersWithSpaces>45530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Ľos, Peter</dc:creator>
  <cp:keywords/>
  <dc:description/>
  <cp:lastModifiedBy>PL</cp:lastModifiedBy>
  <cp:revision>8</cp:revision>
  <dcterms:created xsi:type="dcterms:W3CDTF">2021-12-02T09:24:00Z</dcterms:created>
  <dcterms:modified xsi:type="dcterms:W3CDTF">2021-12-02T13:26:00Z</dcterms:modified>
</cp:coreProperties>
</file>