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E5B" w:rsidRPr="00D40E5B" w:rsidRDefault="00D40E5B" w:rsidP="00D40E5B">
      <w:pPr>
        <w:pStyle w:val="Popis"/>
        <w:keepNext/>
        <w:jc w:val="center"/>
        <w:rPr>
          <w:b/>
          <w:i w:val="0"/>
          <w:color w:val="auto"/>
          <w:sz w:val="36"/>
          <w:szCs w:val="36"/>
        </w:rPr>
      </w:pPr>
      <w:bookmarkStart w:id="0" w:name="_GoBack"/>
      <w:r w:rsidRPr="00D40E5B">
        <w:rPr>
          <w:b/>
          <w:i w:val="0"/>
          <w:sz w:val="36"/>
          <w:szCs w:val="36"/>
        </w:rPr>
        <w:t xml:space="preserve">Pomôcka k funkčnej </w:t>
      </w:r>
      <w:r w:rsidR="00A73CF2">
        <w:rPr>
          <w:b/>
          <w:i w:val="0"/>
          <w:sz w:val="36"/>
          <w:szCs w:val="36"/>
        </w:rPr>
        <w:t>klasifikácii</w:t>
      </w:r>
      <w:r w:rsidRPr="00D40E5B">
        <w:rPr>
          <w:b/>
          <w:i w:val="0"/>
          <w:sz w:val="36"/>
          <w:szCs w:val="36"/>
        </w:rPr>
        <w:t xml:space="preserve"> ciest podľa STN</w:t>
      </w:r>
      <w:bookmarkEnd w:id="0"/>
    </w:p>
    <w:p w:rsidR="00A73CF2" w:rsidRDefault="00A73CF2" w:rsidP="00112EC2">
      <w:pPr>
        <w:pStyle w:val="Popis"/>
        <w:keepNext/>
        <w:spacing w:after="240"/>
        <w:jc w:val="both"/>
        <w:rPr>
          <w:i w:val="0"/>
          <w:color w:val="auto"/>
          <w:sz w:val="24"/>
          <w:szCs w:val="22"/>
        </w:rPr>
      </w:pPr>
      <w:r w:rsidRPr="00A73CF2">
        <w:rPr>
          <w:i w:val="0"/>
          <w:color w:val="auto"/>
          <w:sz w:val="24"/>
          <w:szCs w:val="22"/>
        </w:rPr>
        <w:t xml:space="preserve">Funkčná </w:t>
      </w:r>
      <w:r>
        <w:rPr>
          <w:i w:val="0"/>
          <w:color w:val="auto"/>
          <w:sz w:val="24"/>
          <w:szCs w:val="22"/>
        </w:rPr>
        <w:t>klasifikácia je jedným zo základných parametrov determinujúca možnosti vedenia cyklistickej infraštruktúry v rámci dopravného priestoru.</w:t>
      </w:r>
    </w:p>
    <w:p w:rsidR="004A1C22" w:rsidRPr="004A1C22" w:rsidRDefault="004A1C22" w:rsidP="00A73CF2">
      <w:pPr>
        <w:pStyle w:val="Popis"/>
        <w:keepNext/>
        <w:spacing w:after="60"/>
        <w:jc w:val="both"/>
        <w:rPr>
          <w:b/>
          <w:i w:val="0"/>
          <w:color w:val="auto"/>
          <w:sz w:val="24"/>
          <w:szCs w:val="22"/>
        </w:rPr>
      </w:pPr>
      <w:r w:rsidRPr="004A1C22">
        <w:rPr>
          <w:b/>
          <w:i w:val="0"/>
          <w:color w:val="auto"/>
          <w:sz w:val="24"/>
          <w:szCs w:val="22"/>
        </w:rPr>
        <w:t>Extravilán</w:t>
      </w:r>
    </w:p>
    <w:p w:rsidR="00A73CF2" w:rsidRPr="00A73CF2" w:rsidRDefault="00A73CF2" w:rsidP="00A73CF2">
      <w:pPr>
        <w:pStyle w:val="Popis"/>
        <w:keepNext/>
        <w:spacing w:after="60"/>
        <w:jc w:val="both"/>
        <w:rPr>
          <w:i w:val="0"/>
          <w:color w:val="auto"/>
          <w:sz w:val="24"/>
          <w:szCs w:val="22"/>
        </w:rPr>
      </w:pPr>
      <w:r>
        <w:rPr>
          <w:i w:val="0"/>
          <w:color w:val="auto"/>
          <w:sz w:val="24"/>
          <w:szCs w:val="22"/>
        </w:rPr>
        <w:t>V</w:t>
      </w:r>
      <w:r>
        <w:rPr>
          <w:i w:val="0"/>
          <w:color w:val="auto"/>
          <w:sz w:val="24"/>
          <w:szCs w:val="22"/>
        </w:rPr>
        <w:t xml:space="preserve"> zmysle </w:t>
      </w:r>
      <w:r>
        <w:rPr>
          <w:i w:val="0"/>
          <w:color w:val="auto"/>
          <w:sz w:val="24"/>
          <w:szCs w:val="22"/>
        </w:rPr>
        <w:t>norm</w:t>
      </w:r>
      <w:r>
        <w:rPr>
          <w:i w:val="0"/>
          <w:color w:val="auto"/>
          <w:sz w:val="24"/>
          <w:szCs w:val="22"/>
        </w:rPr>
        <w:t>y</w:t>
      </w:r>
      <w:r>
        <w:rPr>
          <w:i w:val="0"/>
          <w:color w:val="auto"/>
          <w:sz w:val="24"/>
          <w:szCs w:val="22"/>
        </w:rPr>
        <w:t xml:space="preserve"> STN 73 6101 Projektovanie ciest a diaľnic</w:t>
      </w:r>
      <w:r w:rsidRPr="00A73CF2">
        <w:rPr>
          <w:i w:val="0"/>
          <w:color w:val="auto"/>
          <w:sz w:val="24"/>
          <w:szCs w:val="22"/>
        </w:rPr>
        <w:t xml:space="preserve"> </w:t>
      </w:r>
      <w:r>
        <w:rPr>
          <w:i w:val="0"/>
          <w:color w:val="auto"/>
          <w:sz w:val="24"/>
          <w:szCs w:val="22"/>
        </w:rPr>
        <w:t>sa p</w:t>
      </w:r>
      <w:r w:rsidRPr="00A73CF2">
        <w:rPr>
          <w:i w:val="0"/>
          <w:color w:val="auto"/>
          <w:sz w:val="24"/>
          <w:szCs w:val="22"/>
        </w:rPr>
        <w:t xml:space="preserve">odľa dopravného významu </w:t>
      </w:r>
      <w:r>
        <w:rPr>
          <w:i w:val="0"/>
          <w:color w:val="auto"/>
          <w:sz w:val="24"/>
          <w:szCs w:val="22"/>
        </w:rPr>
        <w:t>delia</w:t>
      </w:r>
      <w:r w:rsidRPr="00A73CF2">
        <w:rPr>
          <w:i w:val="0"/>
          <w:color w:val="auto"/>
          <w:sz w:val="24"/>
          <w:szCs w:val="22"/>
        </w:rPr>
        <w:t xml:space="preserve"> </w:t>
      </w:r>
      <w:r w:rsidR="001100F5">
        <w:rPr>
          <w:i w:val="0"/>
          <w:color w:val="auto"/>
          <w:sz w:val="24"/>
          <w:szCs w:val="22"/>
        </w:rPr>
        <w:t xml:space="preserve">(extravilánové) </w:t>
      </w:r>
      <w:r w:rsidRPr="00A73CF2">
        <w:rPr>
          <w:i w:val="0"/>
          <w:color w:val="auto"/>
          <w:sz w:val="24"/>
          <w:szCs w:val="22"/>
        </w:rPr>
        <w:t>cestné komunikácie</w:t>
      </w:r>
      <w:r>
        <w:rPr>
          <w:i w:val="0"/>
          <w:color w:val="auto"/>
          <w:sz w:val="24"/>
          <w:szCs w:val="22"/>
        </w:rPr>
        <w:t xml:space="preserve"> </w:t>
      </w:r>
      <w:r>
        <w:rPr>
          <w:i w:val="0"/>
          <w:color w:val="auto"/>
          <w:sz w:val="24"/>
          <w:szCs w:val="22"/>
        </w:rPr>
        <w:t>do nasledovných funkčných tried</w:t>
      </w:r>
      <w:r w:rsidRPr="00A73CF2">
        <w:rPr>
          <w:i w:val="0"/>
          <w:color w:val="auto"/>
          <w:sz w:val="24"/>
          <w:szCs w:val="22"/>
        </w:rPr>
        <w:t>:</w:t>
      </w:r>
    </w:p>
    <w:p w:rsidR="00A73CF2" w:rsidRPr="00A73CF2" w:rsidRDefault="00A73CF2" w:rsidP="00A73CF2">
      <w:pPr>
        <w:pStyle w:val="Popis"/>
        <w:keepNext/>
        <w:spacing w:after="60"/>
        <w:ind w:left="284"/>
        <w:jc w:val="both"/>
        <w:rPr>
          <w:i w:val="0"/>
          <w:color w:val="auto"/>
          <w:sz w:val="24"/>
          <w:szCs w:val="22"/>
        </w:rPr>
      </w:pPr>
      <w:r w:rsidRPr="00A73CF2">
        <w:rPr>
          <w:i w:val="0"/>
          <w:color w:val="auto"/>
          <w:sz w:val="24"/>
          <w:szCs w:val="22"/>
        </w:rPr>
        <w:t>- diaľnice</w:t>
      </w:r>
      <w:r w:rsidR="001100F5">
        <w:rPr>
          <w:i w:val="0"/>
          <w:color w:val="auto"/>
          <w:sz w:val="24"/>
          <w:szCs w:val="22"/>
        </w:rPr>
        <w:tab/>
      </w:r>
      <w:r w:rsidR="001100F5">
        <w:rPr>
          <w:i w:val="0"/>
          <w:color w:val="auto"/>
          <w:sz w:val="24"/>
          <w:szCs w:val="22"/>
        </w:rPr>
        <w:tab/>
        <w:t>D1-9</w:t>
      </w:r>
      <w:r w:rsidRPr="00A73CF2">
        <w:rPr>
          <w:i w:val="0"/>
          <w:color w:val="auto"/>
          <w:sz w:val="24"/>
          <w:szCs w:val="22"/>
        </w:rPr>
        <w:t>,</w:t>
      </w:r>
    </w:p>
    <w:p w:rsidR="00A73CF2" w:rsidRPr="00A73CF2" w:rsidRDefault="00A73CF2" w:rsidP="00A73CF2">
      <w:pPr>
        <w:pStyle w:val="Popis"/>
        <w:keepNext/>
        <w:spacing w:after="60"/>
        <w:ind w:left="284"/>
        <w:jc w:val="both"/>
        <w:rPr>
          <w:i w:val="0"/>
          <w:color w:val="auto"/>
          <w:sz w:val="24"/>
          <w:szCs w:val="22"/>
        </w:rPr>
      </w:pPr>
      <w:r w:rsidRPr="00A73CF2">
        <w:rPr>
          <w:i w:val="0"/>
          <w:color w:val="auto"/>
          <w:sz w:val="24"/>
          <w:szCs w:val="22"/>
        </w:rPr>
        <w:t>- rýchlostné cesty</w:t>
      </w:r>
      <w:r w:rsidR="001100F5">
        <w:rPr>
          <w:i w:val="0"/>
          <w:color w:val="auto"/>
          <w:sz w:val="24"/>
          <w:szCs w:val="22"/>
        </w:rPr>
        <w:tab/>
        <w:t>R1-9</w:t>
      </w:r>
      <w:r w:rsidRPr="00A73CF2">
        <w:rPr>
          <w:i w:val="0"/>
          <w:color w:val="auto"/>
          <w:sz w:val="24"/>
          <w:szCs w:val="22"/>
        </w:rPr>
        <w:t>,</w:t>
      </w:r>
    </w:p>
    <w:p w:rsidR="00A73CF2" w:rsidRPr="00A73CF2" w:rsidRDefault="00A73CF2" w:rsidP="00A73CF2">
      <w:pPr>
        <w:pStyle w:val="Popis"/>
        <w:keepNext/>
        <w:spacing w:after="60"/>
        <w:ind w:left="284"/>
        <w:jc w:val="both"/>
        <w:rPr>
          <w:i w:val="0"/>
          <w:color w:val="auto"/>
          <w:sz w:val="24"/>
          <w:szCs w:val="22"/>
        </w:rPr>
      </w:pPr>
      <w:r w:rsidRPr="00A73CF2">
        <w:rPr>
          <w:i w:val="0"/>
          <w:color w:val="auto"/>
          <w:sz w:val="24"/>
          <w:szCs w:val="22"/>
        </w:rPr>
        <w:t>- cesty I. triedy</w:t>
      </w:r>
      <w:r w:rsidR="001100F5">
        <w:rPr>
          <w:i w:val="0"/>
          <w:color w:val="auto"/>
          <w:sz w:val="24"/>
          <w:szCs w:val="22"/>
        </w:rPr>
        <w:tab/>
        <w:t>I/1 – I/99</w:t>
      </w:r>
      <w:r w:rsidRPr="00A73CF2">
        <w:rPr>
          <w:i w:val="0"/>
          <w:color w:val="auto"/>
          <w:sz w:val="24"/>
          <w:szCs w:val="22"/>
        </w:rPr>
        <w:t>,</w:t>
      </w:r>
    </w:p>
    <w:p w:rsidR="00A73CF2" w:rsidRPr="00A73CF2" w:rsidRDefault="00A73CF2" w:rsidP="00A73CF2">
      <w:pPr>
        <w:pStyle w:val="Popis"/>
        <w:keepNext/>
        <w:spacing w:after="60"/>
        <w:ind w:left="284"/>
        <w:jc w:val="both"/>
        <w:rPr>
          <w:i w:val="0"/>
          <w:color w:val="auto"/>
          <w:sz w:val="24"/>
          <w:szCs w:val="22"/>
        </w:rPr>
      </w:pPr>
      <w:r w:rsidRPr="00A73CF2">
        <w:rPr>
          <w:i w:val="0"/>
          <w:color w:val="auto"/>
          <w:sz w:val="24"/>
          <w:szCs w:val="22"/>
        </w:rPr>
        <w:t>- cesty II. triedy</w:t>
      </w:r>
      <w:r w:rsidR="001100F5">
        <w:rPr>
          <w:i w:val="0"/>
          <w:color w:val="auto"/>
          <w:sz w:val="24"/>
          <w:szCs w:val="22"/>
        </w:rPr>
        <w:tab/>
        <w:t>II/100 – II/999</w:t>
      </w:r>
      <w:r w:rsidRPr="00A73CF2">
        <w:rPr>
          <w:i w:val="0"/>
          <w:color w:val="auto"/>
          <w:sz w:val="24"/>
          <w:szCs w:val="22"/>
        </w:rPr>
        <w:t>,</w:t>
      </w:r>
    </w:p>
    <w:p w:rsidR="00A73CF2" w:rsidRPr="00A73CF2" w:rsidRDefault="00A73CF2" w:rsidP="00A73CF2">
      <w:pPr>
        <w:pStyle w:val="Popis"/>
        <w:keepNext/>
        <w:spacing w:after="60"/>
        <w:ind w:left="284"/>
        <w:jc w:val="both"/>
        <w:rPr>
          <w:i w:val="0"/>
          <w:color w:val="auto"/>
          <w:sz w:val="24"/>
          <w:szCs w:val="22"/>
        </w:rPr>
      </w:pPr>
      <w:r w:rsidRPr="00A73CF2">
        <w:rPr>
          <w:i w:val="0"/>
          <w:color w:val="auto"/>
          <w:sz w:val="24"/>
          <w:szCs w:val="22"/>
        </w:rPr>
        <w:t>- cesty III. triedy</w:t>
      </w:r>
      <w:r w:rsidR="001100F5">
        <w:rPr>
          <w:i w:val="0"/>
          <w:color w:val="auto"/>
          <w:sz w:val="24"/>
          <w:szCs w:val="22"/>
        </w:rPr>
        <w:tab/>
        <w:t>III/1000 – III/9999</w:t>
      </w:r>
      <w:r w:rsidRPr="00A73CF2">
        <w:rPr>
          <w:i w:val="0"/>
          <w:color w:val="auto"/>
          <w:sz w:val="24"/>
          <w:szCs w:val="22"/>
        </w:rPr>
        <w:t>.</w:t>
      </w:r>
    </w:p>
    <w:p w:rsidR="00112EC2" w:rsidRDefault="00112EC2" w:rsidP="00112EC2">
      <w:pPr>
        <w:pStyle w:val="Popis"/>
        <w:keepNext/>
        <w:spacing w:after="60"/>
        <w:jc w:val="both"/>
        <w:rPr>
          <w:i w:val="0"/>
          <w:color w:val="auto"/>
          <w:sz w:val="24"/>
          <w:szCs w:val="22"/>
        </w:rPr>
      </w:pPr>
      <w:r>
        <w:rPr>
          <w:i w:val="0"/>
          <w:color w:val="auto"/>
          <w:sz w:val="24"/>
          <w:szCs w:val="22"/>
        </w:rPr>
        <w:t>Najjednoduchším spôsobom rozlíšenia funkčnej triedy extravilánových ciest na Slovensku je ich číslo</w:t>
      </w:r>
      <w:r w:rsidR="00C75D8F">
        <w:rPr>
          <w:i w:val="0"/>
          <w:color w:val="auto"/>
          <w:sz w:val="24"/>
          <w:szCs w:val="22"/>
        </w:rPr>
        <w:t xml:space="preserve">, ktoré je možné odčítať z rôznych máp, napr. </w:t>
      </w:r>
      <w:hyperlink r:id="rId5" w:history="1">
        <w:r w:rsidR="00C75D8F" w:rsidRPr="00785D8F">
          <w:rPr>
            <w:rStyle w:val="Hypertextovprepojenie"/>
            <w:i w:val="0"/>
            <w:sz w:val="24"/>
            <w:szCs w:val="22"/>
          </w:rPr>
          <w:t>https://www.cdb.sk/sk/Vystupy-CDB/Mapy-cestnej-siete-SR.alej</w:t>
        </w:r>
      </w:hyperlink>
      <w:r>
        <w:rPr>
          <w:i w:val="0"/>
          <w:color w:val="auto"/>
          <w:sz w:val="24"/>
          <w:szCs w:val="22"/>
        </w:rPr>
        <w:t xml:space="preserve">; cesty I. triedy sú číslované jedno- až dvoj-cifernými číslami; </w:t>
      </w:r>
      <w:r>
        <w:rPr>
          <w:i w:val="0"/>
          <w:color w:val="auto"/>
          <w:sz w:val="24"/>
          <w:szCs w:val="22"/>
        </w:rPr>
        <w:t xml:space="preserve">cesty </w:t>
      </w:r>
      <w:r>
        <w:rPr>
          <w:i w:val="0"/>
          <w:color w:val="auto"/>
          <w:sz w:val="24"/>
          <w:szCs w:val="22"/>
        </w:rPr>
        <w:t>I</w:t>
      </w:r>
      <w:r>
        <w:rPr>
          <w:i w:val="0"/>
          <w:color w:val="auto"/>
          <w:sz w:val="24"/>
          <w:szCs w:val="22"/>
        </w:rPr>
        <w:t xml:space="preserve">I. triedy </w:t>
      </w:r>
      <w:proofErr w:type="spellStart"/>
      <w:r>
        <w:rPr>
          <w:i w:val="0"/>
          <w:color w:val="auto"/>
          <w:sz w:val="24"/>
          <w:szCs w:val="22"/>
        </w:rPr>
        <w:t>tr</w:t>
      </w:r>
      <w:r>
        <w:rPr>
          <w:i w:val="0"/>
          <w:color w:val="auto"/>
          <w:sz w:val="24"/>
          <w:szCs w:val="22"/>
        </w:rPr>
        <w:t>oj</w:t>
      </w:r>
      <w:proofErr w:type="spellEnd"/>
      <w:r>
        <w:rPr>
          <w:i w:val="0"/>
          <w:color w:val="auto"/>
          <w:sz w:val="24"/>
          <w:szCs w:val="22"/>
        </w:rPr>
        <w:t>-cifernými číslami</w:t>
      </w:r>
      <w:r>
        <w:rPr>
          <w:i w:val="0"/>
          <w:color w:val="auto"/>
          <w:sz w:val="24"/>
          <w:szCs w:val="22"/>
        </w:rPr>
        <w:t xml:space="preserve">; a </w:t>
      </w:r>
      <w:r>
        <w:rPr>
          <w:i w:val="0"/>
          <w:color w:val="auto"/>
          <w:sz w:val="24"/>
          <w:szCs w:val="22"/>
        </w:rPr>
        <w:t>cesty I</w:t>
      </w:r>
      <w:r>
        <w:rPr>
          <w:i w:val="0"/>
          <w:color w:val="auto"/>
          <w:sz w:val="24"/>
          <w:szCs w:val="22"/>
        </w:rPr>
        <w:t>I</w:t>
      </w:r>
      <w:r>
        <w:rPr>
          <w:i w:val="0"/>
          <w:color w:val="auto"/>
          <w:sz w:val="24"/>
          <w:szCs w:val="22"/>
        </w:rPr>
        <w:t xml:space="preserve">I. triedy </w:t>
      </w:r>
      <w:proofErr w:type="spellStart"/>
      <w:r>
        <w:rPr>
          <w:i w:val="0"/>
          <w:color w:val="auto"/>
          <w:sz w:val="24"/>
          <w:szCs w:val="22"/>
        </w:rPr>
        <w:t>štvor</w:t>
      </w:r>
      <w:proofErr w:type="spellEnd"/>
      <w:r>
        <w:rPr>
          <w:i w:val="0"/>
          <w:color w:val="auto"/>
          <w:sz w:val="24"/>
          <w:szCs w:val="22"/>
        </w:rPr>
        <w:t>-cifernými číslami</w:t>
      </w:r>
      <w:r>
        <w:rPr>
          <w:i w:val="0"/>
          <w:color w:val="auto"/>
          <w:sz w:val="24"/>
          <w:szCs w:val="22"/>
        </w:rPr>
        <w:t>.</w:t>
      </w:r>
    </w:p>
    <w:p w:rsidR="00D40E5B" w:rsidRDefault="00A73CF2" w:rsidP="00112EC2">
      <w:pPr>
        <w:pStyle w:val="Popis"/>
        <w:keepNext/>
        <w:spacing w:after="240"/>
        <w:jc w:val="both"/>
        <w:rPr>
          <w:i w:val="0"/>
          <w:color w:val="auto"/>
          <w:sz w:val="24"/>
          <w:szCs w:val="22"/>
        </w:rPr>
      </w:pPr>
      <w:r w:rsidRPr="001100F5">
        <w:rPr>
          <w:i w:val="0"/>
          <w:color w:val="auto"/>
          <w:sz w:val="24"/>
          <w:szCs w:val="22"/>
        </w:rPr>
        <w:t xml:space="preserve">Na základe dohôd tvorí </w:t>
      </w:r>
      <w:r w:rsidRPr="001100F5">
        <w:rPr>
          <w:rFonts w:hint="eastAsia"/>
          <w:i w:val="0"/>
          <w:color w:val="auto"/>
          <w:sz w:val="24"/>
          <w:szCs w:val="22"/>
        </w:rPr>
        <w:t>č</w:t>
      </w:r>
      <w:r w:rsidRPr="001100F5">
        <w:rPr>
          <w:i w:val="0"/>
          <w:color w:val="auto"/>
          <w:sz w:val="24"/>
          <w:szCs w:val="22"/>
        </w:rPr>
        <w:t>as</w:t>
      </w:r>
      <w:r w:rsidRPr="001100F5">
        <w:rPr>
          <w:rFonts w:hint="eastAsia"/>
          <w:i w:val="0"/>
          <w:color w:val="auto"/>
          <w:sz w:val="24"/>
          <w:szCs w:val="22"/>
        </w:rPr>
        <w:t>ť</w:t>
      </w:r>
      <w:r w:rsidRPr="001100F5">
        <w:rPr>
          <w:i w:val="0"/>
          <w:color w:val="auto"/>
          <w:sz w:val="24"/>
          <w:szCs w:val="22"/>
        </w:rPr>
        <w:t xml:space="preserve"> cestných komunikácií </w:t>
      </w:r>
      <w:r w:rsidR="00C75D8F">
        <w:rPr>
          <w:i w:val="0"/>
          <w:color w:val="auto"/>
          <w:sz w:val="24"/>
          <w:szCs w:val="22"/>
        </w:rPr>
        <w:t xml:space="preserve">aj </w:t>
      </w:r>
      <w:r w:rsidR="004A1C22" w:rsidRPr="001100F5">
        <w:rPr>
          <w:i w:val="0"/>
          <w:color w:val="auto"/>
          <w:sz w:val="24"/>
          <w:szCs w:val="22"/>
        </w:rPr>
        <w:t>sie</w:t>
      </w:r>
      <w:r w:rsidR="004A1C22" w:rsidRPr="001100F5">
        <w:rPr>
          <w:rFonts w:hint="eastAsia"/>
          <w:i w:val="0"/>
          <w:color w:val="auto"/>
          <w:sz w:val="24"/>
          <w:szCs w:val="22"/>
        </w:rPr>
        <w:t>ť</w:t>
      </w:r>
      <w:r w:rsidR="004A1C22" w:rsidRPr="001100F5">
        <w:rPr>
          <w:i w:val="0"/>
          <w:color w:val="auto"/>
          <w:sz w:val="24"/>
          <w:szCs w:val="22"/>
        </w:rPr>
        <w:t xml:space="preserve"> </w:t>
      </w:r>
      <w:r w:rsidR="004A1C22">
        <w:rPr>
          <w:i w:val="0"/>
          <w:color w:val="auto"/>
          <w:sz w:val="24"/>
          <w:szCs w:val="22"/>
        </w:rPr>
        <w:t xml:space="preserve">európskych </w:t>
      </w:r>
      <w:r w:rsidRPr="001100F5">
        <w:rPr>
          <w:i w:val="0"/>
          <w:color w:val="auto"/>
          <w:sz w:val="24"/>
          <w:szCs w:val="22"/>
        </w:rPr>
        <w:t>medzinárodn</w:t>
      </w:r>
      <w:r w:rsidR="004A1C22">
        <w:rPr>
          <w:i w:val="0"/>
          <w:color w:val="auto"/>
          <w:sz w:val="24"/>
          <w:szCs w:val="22"/>
        </w:rPr>
        <w:t>ých ciest</w:t>
      </w:r>
      <w:r w:rsidR="001100F5">
        <w:rPr>
          <w:i w:val="0"/>
          <w:color w:val="auto"/>
          <w:sz w:val="24"/>
          <w:szCs w:val="22"/>
        </w:rPr>
        <w:t xml:space="preserve">, </w:t>
      </w:r>
      <w:r w:rsidR="001100F5" w:rsidRPr="00112EC2">
        <w:rPr>
          <w:i w:val="0"/>
          <w:color w:val="auto"/>
          <w:spacing w:val="-6"/>
          <w:sz w:val="24"/>
          <w:szCs w:val="22"/>
        </w:rPr>
        <w:t>značenú písmenom „E“ pri čísle cesty</w:t>
      </w:r>
      <w:r w:rsidR="004A1C22" w:rsidRPr="00112EC2">
        <w:rPr>
          <w:i w:val="0"/>
          <w:color w:val="auto"/>
          <w:spacing w:val="-6"/>
          <w:sz w:val="24"/>
          <w:szCs w:val="22"/>
        </w:rPr>
        <w:t xml:space="preserve"> (napr. E/</w:t>
      </w:r>
      <w:r w:rsidR="00112EC2" w:rsidRPr="00112EC2">
        <w:rPr>
          <w:i w:val="0"/>
          <w:color w:val="auto"/>
          <w:spacing w:val="-6"/>
          <w:sz w:val="24"/>
          <w:szCs w:val="22"/>
        </w:rPr>
        <w:t>50).</w:t>
      </w:r>
      <w:r w:rsidR="001100F5" w:rsidRPr="00112EC2">
        <w:rPr>
          <w:i w:val="0"/>
          <w:color w:val="auto"/>
          <w:spacing w:val="-6"/>
          <w:sz w:val="24"/>
          <w:szCs w:val="22"/>
        </w:rPr>
        <w:t xml:space="preserve"> Priestorové usporiadanie </w:t>
      </w:r>
      <w:r w:rsidRPr="00112EC2">
        <w:rPr>
          <w:i w:val="0"/>
          <w:color w:val="auto"/>
          <w:spacing w:val="-6"/>
          <w:sz w:val="24"/>
          <w:szCs w:val="22"/>
        </w:rPr>
        <w:t>a návrhové parametre</w:t>
      </w:r>
      <w:r w:rsidRPr="001100F5">
        <w:rPr>
          <w:i w:val="0"/>
          <w:color w:val="auto"/>
          <w:sz w:val="24"/>
          <w:szCs w:val="22"/>
        </w:rPr>
        <w:t xml:space="preserve"> a tým aj príslušná kategória cestnej komunikácie sú v tomto prípade viazané</w:t>
      </w:r>
      <w:r w:rsidR="001100F5" w:rsidRPr="001100F5">
        <w:rPr>
          <w:i w:val="0"/>
          <w:color w:val="auto"/>
          <w:sz w:val="24"/>
          <w:szCs w:val="22"/>
        </w:rPr>
        <w:t xml:space="preserve"> </w:t>
      </w:r>
      <w:r w:rsidRPr="001100F5">
        <w:rPr>
          <w:i w:val="0"/>
          <w:color w:val="auto"/>
          <w:sz w:val="24"/>
          <w:szCs w:val="22"/>
        </w:rPr>
        <w:t>prijatými podmienkami medzinárodných dohôd.</w:t>
      </w:r>
    </w:p>
    <w:p w:rsidR="004A1C22" w:rsidRPr="004A1C22" w:rsidRDefault="004A1C22" w:rsidP="004A1C22">
      <w:pPr>
        <w:pStyle w:val="Popis"/>
        <w:keepNext/>
        <w:spacing w:after="60"/>
        <w:jc w:val="both"/>
        <w:rPr>
          <w:b/>
          <w:i w:val="0"/>
          <w:color w:val="auto"/>
          <w:sz w:val="24"/>
          <w:szCs w:val="22"/>
        </w:rPr>
      </w:pPr>
      <w:r w:rsidRPr="004A1C22">
        <w:rPr>
          <w:b/>
          <w:i w:val="0"/>
          <w:color w:val="auto"/>
          <w:sz w:val="24"/>
          <w:szCs w:val="22"/>
        </w:rPr>
        <w:t>Intravilán</w:t>
      </w:r>
    </w:p>
    <w:p w:rsidR="001100F5" w:rsidRDefault="00C75D8F" w:rsidP="00C75D8F">
      <w:pPr>
        <w:pStyle w:val="Popis"/>
        <w:keepNext/>
        <w:spacing w:after="120"/>
        <w:jc w:val="both"/>
        <w:rPr>
          <w:i w:val="0"/>
          <w:color w:val="auto"/>
          <w:sz w:val="24"/>
          <w:szCs w:val="22"/>
        </w:rPr>
      </w:pPr>
      <w:r>
        <w:rPr>
          <w:i w:val="0"/>
          <w:color w:val="auto"/>
          <w:sz w:val="24"/>
          <w:szCs w:val="22"/>
        </w:rPr>
        <w:t xml:space="preserve">V intraviláne je určenie funkčnej triedy trochu komplikovanejšie. </w:t>
      </w:r>
      <w:r w:rsidR="001100F5">
        <w:rPr>
          <w:i w:val="0"/>
          <w:color w:val="auto"/>
          <w:sz w:val="24"/>
          <w:szCs w:val="22"/>
        </w:rPr>
        <w:t>Funkčné t</w:t>
      </w:r>
      <w:r w:rsidR="001100F5" w:rsidRPr="001100F5">
        <w:rPr>
          <w:i w:val="0"/>
          <w:color w:val="auto"/>
          <w:sz w:val="24"/>
          <w:szCs w:val="22"/>
        </w:rPr>
        <w:t xml:space="preserve">riedy miestnych komunikácií je potrebné odlišovať od tried </w:t>
      </w:r>
      <w:r w:rsidR="001100F5">
        <w:rPr>
          <w:i w:val="0"/>
          <w:color w:val="auto"/>
          <w:sz w:val="24"/>
          <w:szCs w:val="22"/>
        </w:rPr>
        <w:t xml:space="preserve">(extravilánových) </w:t>
      </w:r>
      <w:r w:rsidR="001100F5" w:rsidRPr="001100F5">
        <w:rPr>
          <w:i w:val="0"/>
          <w:color w:val="auto"/>
          <w:sz w:val="24"/>
          <w:szCs w:val="22"/>
        </w:rPr>
        <w:t>ciest (cesty I., II. a III. triedy). Cestná komunikácia môže tvoriť prieťah obcou po jej jednej alebo viacerých miestnych komunikáciách a tieto môžu mať odlišné triedy.</w:t>
      </w:r>
    </w:p>
    <w:p w:rsidR="001100F5" w:rsidRDefault="001100F5" w:rsidP="001100F5">
      <w:pPr>
        <w:pStyle w:val="Popis"/>
        <w:keepNext/>
        <w:jc w:val="both"/>
        <w:rPr>
          <w:i w:val="0"/>
          <w:color w:val="auto"/>
          <w:sz w:val="24"/>
          <w:szCs w:val="22"/>
        </w:rPr>
      </w:pPr>
      <w:r>
        <w:rPr>
          <w:i w:val="0"/>
          <w:color w:val="auto"/>
          <w:sz w:val="24"/>
          <w:szCs w:val="22"/>
        </w:rPr>
        <w:t>Funkčné t</w:t>
      </w:r>
      <w:r w:rsidRPr="001100F5">
        <w:rPr>
          <w:i w:val="0"/>
          <w:color w:val="auto"/>
          <w:sz w:val="24"/>
          <w:szCs w:val="22"/>
        </w:rPr>
        <w:t xml:space="preserve">riedy miestnych komunikácií </w:t>
      </w:r>
      <w:r>
        <w:rPr>
          <w:i w:val="0"/>
          <w:color w:val="auto"/>
          <w:sz w:val="24"/>
          <w:szCs w:val="22"/>
        </w:rPr>
        <w:t xml:space="preserve">podľa STN 73 6110 </w:t>
      </w:r>
      <w:r w:rsidRPr="001100F5">
        <w:rPr>
          <w:i w:val="0"/>
          <w:color w:val="auto"/>
          <w:sz w:val="24"/>
          <w:szCs w:val="22"/>
        </w:rPr>
        <w:t xml:space="preserve">je </w:t>
      </w:r>
      <w:r w:rsidR="004A1C22">
        <w:rPr>
          <w:i w:val="0"/>
          <w:color w:val="auto"/>
          <w:sz w:val="24"/>
          <w:szCs w:val="22"/>
        </w:rPr>
        <w:t>tak</w:t>
      </w:r>
      <w:r>
        <w:rPr>
          <w:i w:val="0"/>
          <w:color w:val="auto"/>
          <w:sz w:val="24"/>
          <w:szCs w:val="22"/>
        </w:rPr>
        <w:t xml:space="preserve">tiež </w:t>
      </w:r>
      <w:r w:rsidRPr="001100F5">
        <w:rPr>
          <w:i w:val="0"/>
          <w:color w:val="auto"/>
          <w:sz w:val="24"/>
          <w:szCs w:val="22"/>
        </w:rPr>
        <w:t xml:space="preserve">potrebné odlišovať od tried miestnych komunikácií </w:t>
      </w:r>
      <w:r>
        <w:rPr>
          <w:i w:val="0"/>
          <w:color w:val="auto"/>
          <w:sz w:val="24"/>
          <w:szCs w:val="22"/>
        </w:rPr>
        <w:t>p</w:t>
      </w:r>
      <w:r w:rsidRPr="001100F5">
        <w:rPr>
          <w:i w:val="0"/>
          <w:color w:val="auto"/>
          <w:sz w:val="24"/>
          <w:szCs w:val="22"/>
        </w:rPr>
        <w:t>odľa vyhlášky č. 35/1984 Zb.</w:t>
      </w:r>
      <w:r w:rsidR="004A1C22">
        <w:rPr>
          <w:i w:val="0"/>
          <w:color w:val="auto"/>
          <w:sz w:val="24"/>
          <w:szCs w:val="22"/>
        </w:rPr>
        <w:t>, v ktorej</w:t>
      </w:r>
      <w:r w:rsidRPr="001100F5">
        <w:rPr>
          <w:i w:val="0"/>
          <w:color w:val="auto"/>
          <w:sz w:val="24"/>
          <w:szCs w:val="22"/>
        </w:rPr>
        <w:t xml:space="preserve"> sa miestne komunikácie rozdeľujú do štyroch tried</w:t>
      </w:r>
      <w:r w:rsidR="004A1C22">
        <w:rPr>
          <w:i w:val="0"/>
          <w:color w:val="auto"/>
          <w:sz w:val="24"/>
          <w:szCs w:val="22"/>
        </w:rPr>
        <w:t xml:space="preserve"> (I. – IV. triedy), ale tieto vplyv na vedenie </w:t>
      </w:r>
      <w:proofErr w:type="spellStart"/>
      <w:r w:rsidR="004A1C22">
        <w:rPr>
          <w:i w:val="0"/>
          <w:color w:val="auto"/>
          <w:sz w:val="24"/>
          <w:szCs w:val="22"/>
        </w:rPr>
        <w:t>cyklociest</w:t>
      </w:r>
      <w:proofErr w:type="spellEnd"/>
      <w:r w:rsidR="004A1C22" w:rsidRPr="004A1C22">
        <w:rPr>
          <w:i w:val="0"/>
          <w:color w:val="auto"/>
          <w:sz w:val="24"/>
          <w:szCs w:val="22"/>
        </w:rPr>
        <w:t xml:space="preserve"> </w:t>
      </w:r>
      <w:r w:rsidR="004A1C22">
        <w:rPr>
          <w:i w:val="0"/>
          <w:color w:val="auto"/>
          <w:sz w:val="24"/>
          <w:szCs w:val="22"/>
        </w:rPr>
        <w:t>nemajú</w:t>
      </w:r>
      <w:r w:rsidR="004A1C22">
        <w:rPr>
          <w:i w:val="0"/>
          <w:color w:val="auto"/>
          <w:sz w:val="24"/>
          <w:szCs w:val="22"/>
        </w:rPr>
        <w:t>.</w:t>
      </w:r>
    </w:p>
    <w:p w:rsidR="00C75D8F" w:rsidRDefault="00C75D8F" w:rsidP="001100F5">
      <w:pPr>
        <w:pStyle w:val="Popis"/>
        <w:keepNext/>
        <w:jc w:val="both"/>
        <w:rPr>
          <w:i w:val="0"/>
          <w:color w:val="auto"/>
          <w:sz w:val="24"/>
          <w:szCs w:val="22"/>
        </w:rPr>
      </w:pPr>
      <w:r>
        <w:rPr>
          <w:i w:val="0"/>
          <w:color w:val="auto"/>
          <w:sz w:val="24"/>
          <w:szCs w:val="22"/>
        </w:rPr>
        <w:t>Na</w:t>
      </w:r>
      <w:r>
        <w:rPr>
          <w:i w:val="0"/>
          <w:color w:val="auto"/>
          <w:sz w:val="24"/>
          <w:szCs w:val="22"/>
        </w:rPr>
        <w:t>jistej</w:t>
      </w:r>
      <w:r>
        <w:rPr>
          <w:i w:val="0"/>
          <w:color w:val="auto"/>
          <w:sz w:val="24"/>
          <w:szCs w:val="22"/>
        </w:rPr>
        <w:t xml:space="preserve">ší spôsob </w:t>
      </w:r>
      <w:r>
        <w:rPr>
          <w:i w:val="0"/>
          <w:color w:val="auto"/>
          <w:sz w:val="24"/>
          <w:szCs w:val="22"/>
        </w:rPr>
        <w:t>ako odčítať</w:t>
      </w:r>
      <w:r>
        <w:rPr>
          <w:i w:val="0"/>
          <w:color w:val="auto"/>
          <w:sz w:val="24"/>
          <w:szCs w:val="22"/>
        </w:rPr>
        <w:t xml:space="preserve"> </w:t>
      </w:r>
      <w:r>
        <w:rPr>
          <w:i w:val="0"/>
          <w:color w:val="auto"/>
          <w:sz w:val="24"/>
          <w:szCs w:val="22"/>
        </w:rPr>
        <w:t xml:space="preserve">správne </w:t>
      </w:r>
      <w:r>
        <w:rPr>
          <w:i w:val="0"/>
          <w:color w:val="auto"/>
          <w:sz w:val="24"/>
          <w:szCs w:val="22"/>
        </w:rPr>
        <w:t>funkčn</w:t>
      </w:r>
      <w:r>
        <w:rPr>
          <w:i w:val="0"/>
          <w:color w:val="auto"/>
          <w:sz w:val="24"/>
          <w:szCs w:val="22"/>
        </w:rPr>
        <w:t>é</w:t>
      </w:r>
      <w:r>
        <w:rPr>
          <w:i w:val="0"/>
          <w:color w:val="auto"/>
          <w:sz w:val="24"/>
          <w:szCs w:val="22"/>
        </w:rPr>
        <w:t xml:space="preserve"> triedy </w:t>
      </w:r>
      <w:r>
        <w:rPr>
          <w:i w:val="0"/>
          <w:color w:val="auto"/>
          <w:sz w:val="24"/>
          <w:szCs w:val="22"/>
        </w:rPr>
        <w:t>miestnych komunikácií je obyčajne z územnoplánovacích</w:t>
      </w:r>
      <w:r>
        <w:rPr>
          <w:i w:val="0"/>
          <w:color w:val="auto"/>
          <w:sz w:val="24"/>
          <w:szCs w:val="22"/>
        </w:rPr>
        <w:t xml:space="preserve"> </w:t>
      </w:r>
      <w:r>
        <w:rPr>
          <w:i w:val="0"/>
          <w:color w:val="auto"/>
          <w:sz w:val="24"/>
          <w:szCs w:val="22"/>
        </w:rPr>
        <w:t xml:space="preserve">dokumentov obce. </w:t>
      </w:r>
    </w:p>
    <w:p w:rsidR="00D40E5B" w:rsidRPr="001100F5" w:rsidRDefault="00C75D8F" w:rsidP="001100F5">
      <w:pPr>
        <w:pStyle w:val="Popis"/>
        <w:keepNext/>
        <w:jc w:val="both"/>
        <w:rPr>
          <w:i w:val="0"/>
          <w:color w:val="auto"/>
          <w:sz w:val="24"/>
          <w:szCs w:val="22"/>
        </w:rPr>
      </w:pPr>
      <w:r>
        <w:rPr>
          <w:i w:val="0"/>
          <w:color w:val="auto"/>
          <w:sz w:val="24"/>
          <w:szCs w:val="22"/>
        </w:rPr>
        <w:t>Prípadne možno použiť popis v zmysle nasledujúcej tabuľky č. 1.</w:t>
      </w:r>
      <w:r w:rsidR="00D40E5B" w:rsidRPr="001100F5">
        <w:rPr>
          <w:i w:val="0"/>
          <w:color w:val="auto"/>
          <w:sz w:val="24"/>
          <w:szCs w:val="22"/>
        </w:rPr>
        <w:br w:type="page"/>
      </w:r>
    </w:p>
    <w:p w:rsidR="004D0FBE" w:rsidRPr="00D40E5B" w:rsidRDefault="004D0FBE" w:rsidP="004D0FBE">
      <w:pPr>
        <w:pStyle w:val="Popis"/>
        <w:keepNext/>
        <w:rPr>
          <w:b/>
          <w:i w:val="0"/>
          <w:color w:val="auto"/>
          <w:sz w:val="22"/>
        </w:rPr>
      </w:pPr>
      <w:r w:rsidRPr="00D40E5B">
        <w:rPr>
          <w:b/>
          <w:i w:val="0"/>
          <w:color w:val="auto"/>
          <w:sz w:val="22"/>
        </w:rPr>
        <w:lastRenderedPageBreak/>
        <w:t xml:space="preserve">Tabuľka </w:t>
      </w:r>
      <w:r w:rsidRPr="00D40E5B">
        <w:rPr>
          <w:b/>
          <w:i w:val="0"/>
          <w:color w:val="auto"/>
          <w:sz w:val="22"/>
        </w:rPr>
        <w:fldChar w:fldCharType="begin"/>
      </w:r>
      <w:r w:rsidRPr="00D40E5B">
        <w:rPr>
          <w:b/>
          <w:i w:val="0"/>
          <w:color w:val="auto"/>
          <w:sz w:val="22"/>
        </w:rPr>
        <w:instrText xml:space="preserve"> SEQ Tabuľka \* ARABIC </w:instrText>
      </w:r>
      <w:r w:rsidRPr="00D40E5B">
        <w:rPr>
          <w:b/>
          <w:i w:val="0"/>
          <w:color w:val="auto"/>
          <w:sz w:val="22"/>
        </w:rPr>
        <w:fldChar w:fldCharType="separate"/>
      </w:r>
      <w:r w:rsidRPr="00D40E5B">
        <w:rPr>
          <w:b/>
          <w:i w:val="0"/>
          <w:noProof/>
          <w:color w:val="auto"/>
          <w:sz w:val="22"/>
        </w:rPr>
        <w:t>1</w:t>
      </w:r>
      <w:r w:rsidRPr="00D40E5B">
        <w:rPr>
          <w:b/>
          <w:i w:val="0"/>
          <w:color w:val="auto"/>
          <w:sz w:val="22"/>
        </w:rPr>
        <w:fldChar w:fldCharType="end"/>
      </w:r>
      <w:r w:rsidRPr="00D40E5B">
        <w:rPr>
          <w:b/>
          <w:i w:val="0"/>
          <w:color w:val="auto"/>
          <w:sz w:val="22"/>
        </w:rPr>
        <w:t>: Členenie miestnych komunikácií podľa osídlenia a dopravného významu s nadväznosťou na cestné komunikácie</w:t>
      </w:r>
      <w:r w:rsidR="00D40E5B">
        <w:rPr>
          <w:b/>
          <w:i w:val="0"/>
          <w:color w:val="auto"/>
          <w:sz w:val="22"/>
        </w:rPr>
        <w:t xml:space="preserve"> (podľa STN 73 6110)</w:t>
      </w:r>
    </w:p>
    <w:tbl>
      <w:tblPr>
        <w:tblStyle w:val="Mriekatabuky"/>
        <w:tblW w:w="9604" w:type="dxa"/>
        <w:tblLook w:val="04A0" w:firstRow="1" w:lastRow="0" w:firstColumn="1" w:lastColumn="0" w:noHBand="0" w:noVBand="1"/>
      </w:tblPr>
      <w:tblGrid>
        <w:gridCol w:w="978"/>
        <w:gridCol w:w="3790"/>
        <w:gridCol w:w="2457"/>
        <w:gridCol w:w="2379"/>
      </w:tblGrid>
      <w:tr w:rsidR="004D0FBE" w:rsidTr="00D40E5B">
        <w:trPr>
          <w:trHeight w:val="493"/>
        </w:trPr>
        <w:tc>
          <w:tcPr>
            <w:tcW w:w="978" w:type="dxa"/>
          </w:tcPr>
          <w:p w:rsidR="00E72B97" w:rsidRPr="00E72B97" w:rsidRDefault="00E72B97" w:rsidP="00E72B97">
            <w:pPr>
              <w:jc w:val="center"/>
              <w:rPr>
                <w:b/>
              </w:rPr>
            </w:pPr>
            <w:r w:rsidRPr="00E72B97">
              <w:rPr>
                <w:b/>
              </w:rPr>
              <w:t>Funkčná trieda</w:t>
            </w:r>
          </w:p>
        </w:tc>
        <w:tc>
          <w:tcPr>
            <w:tcW w:w="3790" w:type="dxa"/>
          </w:tcPr>
          <w:p w:rsidR="00700079" w:rsidRPr="00E72B97" w:rsidRDefault="00700079" w:rsidP="00E72B97">
            <w:pPr>
              <w:jc w:val="center"/>
              <w:rPr>
                <w:b/>
              </w:rPr>
            </w:pPr>
            <w:r w:rsidRPr="00E72B97">
              <w:rPr>
                <w:b/>
              </w:rPr>
              <w:t>Použitie v sídle</w:t>
            </w:r>
          </w:p>
        </w:tc>
        <w:tc>
          <w:tcPr>
            <w:tcW w:w="2457" w:type="dxa"/>
          </w:tcPr>
          <w:p w:rsidR="00700079" w:rsidRPr="00E72B97" w:rsidRDefault="00700079" w:rsidP="00E72B97">
            <w:pPr>
              <w:jc w:val="center"/>
              <w:rPr>
                <w:b/>
              </w:rPr>
            </w:pPr>
            <w:r w:rsidRPr="00E72B97">
              <w:rPr>
                <w:b/>
              </w:rPr>
              <w:t>Poloha</w:t>
            </w:r>
          </w:p>
        </w:tc>
        <w:tc>
          <w:tcPr>
            <w:tcW w:w="2379" w:type="dxa"/>
          </w:tcPr>
          <w:p w:rsidR="00700079" w:rsidRPr="00E72B97" w:rsidRDefault="00700079" w:rsidP="00E72B97">
            <w:pPr>
              <w:jc w:val="center"/>
              <w:rPr>
                <w:b/>
              </w:rPr>
            </w:pPr>
            <w:r w:rsidRPr="00E72B97">
              <w:rPr>
                <w:b/>
              </w:rPr>
              <w:t>Požiadavky</w:t>
            </w:r>
          </w:p>
        </w:tc>
      </w:tr>
      <w:tr w:rsidR="004D0FBE" w:rsidTr="00D40E5B">
        <w:trPr>
          <w:trHeight w:val="1016"/>
        </w:trPr>
        <w:tc>
          <w:tcPr>
            <w:tcW w:w="978" w:type="dxa"/>
          </w:tcPr>
          <w:p w:rsidR="00700079" w:rsidRDefault="00700079">
            <w:r>
              <w:t>A1</w:t>
            </w:r>
          </w:p>
        </w:tc>
        <w:tc>
          <w:tcPr>
            <w:tcW w:w="3790" w:type="dxa"/>
          </w:tcPr>
          <w:p w:rsidR="00700079" w:rsidRDefault="00700079" w:rsidP="00D40E5B">
            <w:r>
              <w:t>Rýchlostné komunikácie v sídlach nad 100-tisíc obyvateľov</w:t>
            </w:r>
            <w:r w:rsidR="00D40E5B">
              <w:t>,</w:t>
            </w:r>
            <w:r>
              <w:t xml:space="preserve"> výnimočne prieťah diaľnic a rýchlostných ciest v sídlach nad 80 tisíc obyvateľov</w:t>
            </w:r>
          </w:p>
        </w:tc>
        <w:tc>
          <w:tcPr>
            <w:tcW w:w="2457" w:type="dxa"/>
          </w:tcPr>
          <w:p w:rsidR="00700079" w:rsidRDefault="00700079">
            <w:r>
              <w:t>Na hranici vyšších urbanistických útvarov</w:t>
            </w:r>
          </w:p>
        </w:tc>
        <w:tc>
          <w:tcPr>
            <w:tcW w:w="2379" w:type="dxa"/>
          </w:tcPr>
          <w:p w:rsidR="00700079" w:rsidRDefault="00700079">
            <w:r>
              <w:t>Vylúčený priamy styk s okolitým územím</w:t>
            </w:r>
          </w:p>
        </w:tc>
      </w:tr>
      <w:tr w:rsidR="004D0FBE" w:rsidTr="00D40E5B">
        <w:trPr>
          <w:trHeight w:val="1339"/>
        </w:trPr>
        <w:tc>
          <w:tcPr>
            <w:tcW w:w="978" w:type="dxa"/>
          </w:tcPr>
          <w:p w:rsidR="00700079" w:rsidRDefault="00700079">
            <w:r>
              <w:t>A2</w:t>
            </w:r>
          </w:p>
        </w:tc>
        <w:tc>
          <w:tcPr>
            <w:tcW w:w="3790" w:type="dxa"/>
          </w:tcPr>
          <w:p w:rsidR="00700079" w:rsidRDefault="00700079" w:rsidP="00D40E5B">
            <w:r>
              <w:t>Rýchlostn</w:t>
            </w:r>
            <w:r w:rsidR="00D40E5B">
              <w:t>é komunikácie v sídlach nad 50-</w:t>
            </w:r>
            <w:r>
              <w:t>tisíc obyvateľov</w:t>
            </w:r>
            <w:r w:rsidR="00D40E5B">
              <w:t>, v</w:t>
            </w:r>
            <w:r>
              <w:t>ýnimočne prieťah rýchlostných ciest v sídlach nad 20</w:t>
            </w:r>
            <w:r w:rsidR="00D40E5B">
              <w:t>-</w:t>
            </w:r>
            <w:r>
              <w:t>tisíc obyvateľov</w:t>
            </w:r>
          </w:p>
        </w:tc>
        <w:tc>
          <w:tcPr>
            <w:tcW w:w="2457" w:type="dxa"/>
          </w:tcPr>
          <w:p w:rsidR="00700079" w:rsidRDefault="00700079">
            <w:r>
              <w:t>Na hranici vyšších urbanistických útvarov</w:t>
            </w:r>
          </w:p>
        </w:tc>
        <w:tc>
          <w:tcPr>
            <w:tcW w:w="2379" w:type="dxa"/>
          </w:tcPr>
          <w:p w:rsidR="00700079" w:rsidRDefault="00700079" w:rsidP="00D40E5B">
            <w:r>
              <w:t>Obmedzený priamy styk s okolitým územím, nutná ochrana okolitej zástavby pred účinkami aut</w:t>
            </w:r>
            <w:r w:rsidR="00D40E5B">
              <w:t>omobilovej d</w:t>
            </w:r>
            <w:r>
              <w:t>opravy</w:t>
            </w:r>
          </w:p>
        </w:tc>
      </w:tr>
      <w:tr w:rsidR="004D0FBE" w:rsidTr="00D40E5B">
        <w:trPr>
          <w:trHeight w:val="493"/>
        </w:trPr>
        <w:tc>
          <w:tcPr>
            <w:tcW w:w="978" w:type="dxa"/>
          </w:tcPr>
          <w:p w:rsidR="00700079" w:rsidRDefault="00700079">
            <w:r>
              <w:t>A3</w:t>
            </w:r>
          </w:p>
        </w:tc>
        <w:tc>
          <w:tcPr>
            <w:tcW w:w="3790" w:type="dxa"/>
          </w:tcPr>
          <w:p w:rsidR="00700079" w:rsidRDefault="00700079">
            <w:r>
              <w:t xml:space="preserve">Rýchlostné komunikácie v sídlach </w:t>
            </w:r>
            <w:r w:rsidR="00D40E5B">
              <w:br/>
            </w:r>
            <w:r>
              <w:t>nad 20-tisíc do 50-tisíc obyvateľov</w:t>
            </w:r>
          </w:p>
        </w:tc>
        <w:tc>
          <w:tcPr>
            <w:tcW w:w="2457" w:type="dxa"/>
          </w:tcPr>
          <w:p w:rsidR="00700079" w:rsidRDefault="00700079">
            <w:r>
              <w:t>Medzi obytnými útvarmi</w:t>
            </w:r>
          </w:p>
        </w:tc>
        <w:tc>
          <w:tcPr>
            <w:tcW w:w="2379" w:type="dxa"/>
          </w:tcPr>
          <w:p w:rsidR="00700079" w:rsidRDefault="00700079">
            <w:r>
              <w:t>Povolený styk s okolitým územím</w:t>
            </w:r>
          </w:p>
        </w:tc>
      </w:tr>
      <w:tr w:rsidR="004D0FBE" w:rsidTr="00D40E5B">
        <w:trPr>
          <w:trHeight w:val="1016"/>
        </w:trPr>
        <w:tc>
          <w:tcPr>
            <w:tcW w:w="978" w:type="dxa"/>
          </w:tcPr>
          <w:p w:rsidR="00700079" w:rsidRDefault="00700079">
            <w:r>
              <w:t>B1</w:t>
            </w:r>
          </w:p>
        </w:tc>
        <w:tc>
          <w:tcPr>
            <w:tcW w:w="3790" w:type="dxa"/>
          </w:tcPr>
          <w:p w:rsidR="00D40E5B" w:rsidRDefault="00700079" w:rsidP="00D40E5B">
            <w:r>
              <w:t xml:space="preserve">Zberné komunikácie v sídlach </w:t>
            </w:r>
            <w:r w:rsidR="00D40E5B">
              <w:br/>
            </w:r>
            <w:r>
              <w:t xml:space="preserve">nad 30-tisíc obyvateľov; </w:t>
            </w:r>
          </w:p>
          <w:p w:rsidR="00700079" w:rsidRDefault="00D40E5B" w:rsidP="00D40E5B">
            <w:r>
              <w:t>P</w:t>
            </w:r>
            <w:r w:rsidR="00700079">
              <w:t>rieťah</w:t>
            </w:r>
            <w:r>
              <w:t>y</w:t>
            </w:r>
            <w:r w:rsidR="00700079">
              <w:t xml:space="preserve"> ciest I. triedy, príp. </w:t>
            </w:r>
            <w:r w:rsidR="00700079" w:rsidRPr="00D40E5B">
              <w:t>II</w:t>
            </w:r>
            <w:r w:rsidRPr="00D40E5B">
              <w:t>.</w:t>
            </w:r>
            <w:r w:rsidR="00700079">
              <w:t xml:space="preserve"> triedy</w:t>
            </w:r>
          </w:p>
        </w:tc>
        <w:tc>
          <w:tcPr>
            <w:tcW w:w="2457" w:type="dxa"/>
          </w:tcPr>
          <w:p w:rsidR="00700079" w:rsidRDefault="00570C5A">
            <w:r>
              <w:t>Na hranici nižších urbanistických útvarov, distribučný okruh časti sídla</w:t>
            </w:r>
          </w:p>
        </w:tc>
        <w:tc>
          <w:tcPr>
            <w:tcW w:w="2379" w:type="dxa"/>
          </w:tcPr>
          <w:p w:rsidR="00700079" w:rsidRDefault="00570C5A">
            <w:r>
              <w:t>Prevažne dopravný význam; obmedzená priama obsluha</w:t>
            </w:r>
          </w:p>
        </w:tc>
      </w:tr>
      <w:tr w:rsidR="004D0FBE" w:rsidTr="00D40E5B">
        <w:trPr>
          <w:trHeight w:val="1256"/>
        </w:trPr>
        <w:tc>
          <w:tcPr>
            <w:tcW w:w="978" w:type="dxa"/>
          </w:tcPr>
          <w:p w:rsidR="00700079" w:rsidRDefault="00700079">
            <w:r>
              <w:t>B2</w:t>
            </w:r>
          </w:p>
        </w:tc>
        <w:tc>
          <w:tcPr>
            <w:tcW w:w="3790" w:type="dxa"/>
          </w:tcPr>
          <w:p w:rsidR="00D40E5B" w:rsidRDefault="00570C5A" w:rsidP="00D40E5B">
            <w:r>
              <w:t xml:space="preserve">Zberné komunikácie v sídlach </w:t>
            </w:r>
            <w:r w:rsidR="00D40E5B">
              <w:br/>
            </w:r>
            <w:r>
              <w:t xml:space="preserve">nad 20-tisíc obyvateľov;  </w:t>
            </w:r>
          </w:p>
          <w:p w:rsidR="00700079" w:rsidRDefault="00D40E5B" w:rsidP="00D40E5B">
            <w:r>
              <w:t>P</w:t>
            </w:r>
            <w:r w:rsidR="00570C5A">
              <w:t xml:space="preserve">rieťahy ciest II. </w:t>
            </w:r>
            <w:r w:rsidR="004D0FBE">
              <w:t>a</w:t>
            </w:r>
            <w:r w:rsidR="00570C5A">
              <w:t xml:space="preserve"> III. </w:t>
            </w:r>
            <w:r>
              <w:t>t</w:t>
            </w:r>
            <w:r w:rsidR="00570C5A">
              <w:t>riedy</w:t>
            </w:r>
          </w:p>
        </w:tc>
        <w:tc>
          <w:tcPr>
            <w:tcW w:w="2457" w:type="dxa"/>
          </w:tcPr>
          <w:p w:rsidR="00700079" w:rsidRDefault="00570C5A">
            <w:r>
              <w:t>Medzi nižšími obytnými útvarmi, kostra zmiešaných zón sídla s väzbou na extravilán</w:t>
            </w:r>
          </w:p>
        </w:tc>
        <w:tc>
          <w:tcPr>
            <w:tcW w:w="2379" w:type="dxa"/>
          </w:tcPr>
          <w:p w:rsidR="00700079" w:rsidRDefault="00570C5A">
            <w:r>
              <w:t>Dopravný význam s čiastočnou priamou obsluhou, výnimočne s upokojujúcimi prvkami pre IAD</w:t>
            </w:r>
          </w:p>
        </w:tc>
      </w:tr>
      <w:tr w:rsidR="004D0FBE" w:rsidTr="00D40E5B">
        <w:trPr>
          <w:trHeight w:val="748"/>
        </w:trPr>
        <w:tc>
          <w:tcPr>
            <w:tcW w:w="978" w:type="dxa"/>
          </w:tcPr>
          <w:p w:rsidR="00700079" w:rsidRDefault="00700079">
            <w:r>
              <w:t>B3</w:t>
            </w:r>
          </w:p>
        </w:tc>
        <w:tc>
          <w:tcPr>
            <w:tcW w:w="3790" w:type="dxa"/>
          </w:tcPr>
          <w:p w:rsidR="00D40E5B" w:rsidRDefault="00570C5A">
            <w:r>
              <w:t xml:space="preserve">Zberné komunikácie v sídlach </w:t>
            </w:r>
            <w:r w:rsidR="00D40E5B">
              <w:br/>
            </w:r>
            <w:r>
              <w:t xml:space="preserve">pod 20-tisíc obyvateľov; </w:t>
            </w:r>
          </w:p>
          <w:p w:rsidR="00700079" w:rsidRDefault="00D40E5B" w:rsidP="00D40E5B">
            <w:r>
              <w:t>P</w:t>
            </w:r>
            <w:r w:rsidR="00570C5A">
              <w:t xml:space="preserve">rieťahy ciest III. </w:t>
            </w:r>
            <w:r>
              <w:t>t</w:t>
            </w:r>
            <w:r w:rsidR="00570C5A">
              <w:t>riedy</w:t>
            </w:r>
          </w:p>
        </w:tc>
        <w:tc>
          <w:tcPr>
            <w:tcW w:w="2457" w:type="dxa"/>
          </w:tcPr>
          <w:p w:rsidR="00700079" w:rsidRDefault="00570C5A">
            <w:r>
              <w:t>Medzi nižšími obytnými útvarmi</w:t>
            </w:r>
          </w:p>
        </w:tc>
        <w:tc>
          <w:tcPr>
            <w:tcW w:w="2379" w:type="dxa"/>
          </w:tcPr>
          <w:p w:rsidR="00700079" w:rsidRDefault="00570C5A">
            <w:r>
              <w:t>Priama obsluha neobmedzená</w:t>
            </w:r>
          </w:p>
        </w:tc>
      </w:tr>
      <w:tr w:rsidR="00570C5A" w:rsidTr="00D40E5B">
        <w:trPr>
          <w:trHeight w:val="508"/>
        </w:trPr>
        <w:tc>
          <w:tcPr>
            <w:tcW w:w="978" w:type="dxa"/>
          </w:tcPr>
          <w:p w:rsidR="00570C5A" w:rsidRDefault="00570C5A">
            <w:r>
              <w:t>C1</w:t>
            </w:r>
          </w:p>
        </w:tc>
        <w:tc>
          <w:tcPr>
            <w:tcW w:w="3790" w:type="dxa"/>
          </w:tcPr>
          <w:p w:rsidR="00570C5A" w:rsidRDefault="00570C5A">
            <w:r>
              <w:t>Mestské triedy spoločenského významu v existujúcej zástavbe</w:t>
            </w:r>
          </w:p>
        </w:tc>
        <w:tc>
          <w:tcPr>
            <w:tcW w:w="2457" w:type="dxa"/>
          </w:tcPr>
          <w:p w:rsidR="00570C5A" w:rsidRDefault="00570C5A">
            <w:r>
              <w:t>Obslužné obchodné osi mestských útvarov</w:t>
            </w:r>
          </w:p>
        </w:tc>
        <w:tc>
          <w:tcPr>
            <w:tcW w:w="2379" w:type="dxa"/>
            <w:vMerge w:val="restart"/>
          </w:tcPr>
          <w:p w:rsidR="00570C5A" w:rsidRDefault="00CB6201" w:rsidP="00CB6201">
            <w:r>
              <w:t>Vylúčená tranzitná doprava, možnosť priamej obsluhy všetkých objektov, možné použitie upokojujúcich prvkov a parkovania</w:t>
            </w:r>
          </w:p>
        </w:tc>
      </w:tr>
      <w:tr w:rsidR="00570C5A" w:rsidTr="00D40E5B">
        <w:trPr>
          <w:trHeight w:val="1002"/>
        </w:trPr>
        <w:tc>
          <w:tcPr>
            <w:tcW w:w="978" w:type="dxa"/>
          </w:tcPr>
          <w:p w:rsidR="00570C5A" w:rsidRDefault="00570C5A">
            <w:r>
              <w:t>C2</w:t>
            </w:r>
          </w:p>
        </w:tc>
        <w:tc>
          <w:tcPr>
            <w:tcW w:w="3790" w:type="dxa"/>
          </w:tcPr>
          <w:p w:rsidR="00D40E5B" w:rsidRDefault="00570C5A">
            <w:r>
              <w:t xml:space="preserve">Obslužné komunikácie doplňujúce spojenie zberných komunikácií; </w:t>
            </w:r>
          </w:p>
          <w:p w:rsidR="00570C5A" w:rsidRDefault="00570C5A">
            <w:r>
              <w:t>aj vo vnútri priemyselných zón, možnosť parkovania</w:t>
            </w:r>
          </w:p>
        </w:tc>
        <w:tc>
          <w:tcPr>
            <w:tcW w:w="2457" w:type="dxa"/>
          </w:tcPr>
          <w:p w:rsidR="00570C5A" w:rsidRDefault="00CB6201">
            <w:r>
              <w:t>Medzi nižšími obytnými útvarmi alebo vnútri obytných útvarov</w:t>
            </w:r>
          </w:p>
        </w:tc>
        <w:tc>
          <w:tcPr>
            <w:tcW w:w="2379" w:type="dxa"/>
            <w:vMerge/>
          </w:tcPr>
          <w:p w:rsidR="00570C5A" w:rsidRDefault="00570C5A"/>
        </w:tc>
      </w:tr>
      <w:tr w:rsidR="00570C5A" w:rsidTr="00D40E5B">
        <w:trPr>
          <w:trHeight w:val="493"/>
        </w:trPr>
        <w:tc>
          <w:tcPr>
            <w:tcW w:w="978" w:type="dxa"/>
          </w:tcPr>
          <w:p w:rsidR="00570C5A" w:rsidRDefault="00570C5A">
            <w:r>
              <w:t>C3</w:t>
            </w:r>
          </w:p>
        </w:tc>
        <w:tc>
          <w:tcPr>
            <w:tcW w:w="3790" w:type="dxa"/>
          </w:tcPr>
          <w:p w:rsidR="00570C5A" w:rsidRDefault="00CB6201">
            <w:r>
              <w:t>Obslužné komunikácie sprístupňujúce objekty a územia</w:t>
            </w:r>
          </w:p>
        </w:tc>
        <w:tc>
          <w:tcPr>
            <w:tcW w:w="2457" w:type="dxa"/>
          </w:tcPr>
          <w:p w:rsidR="00570C5A" w:rsidRDefault="00CB6201">
            <w:r>
              <w:t>Vnútri obytných útvarov</w:t>
            </w:r>
          </w:p>
        </w:tc>
        <w:tc>
          <w:tcPr>
            <w:tcW w:w="2379" w:type="dxa"/>
            <w:vMerge/>
          </w:tcPr>
          <w:p w:rsidR="00570C5A" w:rsidRDefault="00570C5A"/>
        </w:tc>
      </w:tr>
      <w:tr w:rsidR="004D0FBE" w:rsidTr="00D40E5B">
        <w:trPr>
          <w:trHeight w:val="2487"/>
        </w:trPr>
        <w:tc>
          <w:tcPr>
            <w:tcW w:w="978" w:type="dxa"/>
          </w:tcPr>
          <w:p w:rsidR="00700079" w:rsidRDefault="00700079">
            <w:r>
              <w:t>D1</w:t>
            </w:r>
          </w:p>
        </w:tc>
        <w:tc>
          <w:tcPr>
            <w:tcW w:w="3790" w:type="dxa"/>
          </w:tcPr>
          <w:p w:rsidR="00700079" w:rsidRDefault="00E72B97">
            <w:r>
              <w:t>Pešie zóny a obytné ulice</w:t>
            </w:r>
          </w:p>
          <w:p w:rsidR="00E72B97" w:rsidRDefault="00E72B97"/>
          <w:p w:rsidR="00E72B97" w:rsidRDefault="00E72B97"/>
          <w:p w:rsidR="00E72B97" w:rsidRDefault="00E72B97"/>
          <w:p w:rsidR="004D4D26" w:rsidRDefault="004D4D26"/>
          <w:p w:rsidR="00E72B97" w:rsidRDefault="00E72B97">
            <w:r>
              <w:t>Obytné zóny</w:t>
            </w:r>
          </w:p>
        </w:tc>
        <w:tc>
          <w:tcPr>
            <w:tcW w:w="2457" w:type="dxa"/>
          </w:tcPr>
          <w:p w:rsidR="00700079" w:rsidRDefault="00E72B97">
            <w:r>
              <w:t>V historických a obchodných centrách sídelných útvarov</w:t>
            </w:r>
          </w:p>
          <w:p w:rsidR="00E72B97" w:rsidRDefault="00E72B97"/>
          <w:p w:rsidR="004D4D26" w:rsidRDefault="004D4D26"/>
          <w:p w:rsidR="004D0FBE" w:rsidRPr="00D40E5B" w:rsidRDefault="00E72B97">
            <w:pPr>
              <w:rPr>
                <w:szCs w:val="20"/>
              </w:rPr>
            </w:pPr>
            <w:r w:rsidRPr="00D40E5B">
              <w:rPr>
                <w:szCs w:val="20"/>
              </w:rPr>
              <w:t>V existujúcich a nových obytný</w:t>
            </w:r>
            <w:r w:rsidR="004D0FBE" w:rsidRPr="00D40E5B">
              <w:rPr>
                <w:szCs w:val="20"/>
              </w:rPr>
              <w:t>ch súboroch; obytné ulice v  súboroch</w:t>
            </w:r>
          </w:p>
          <w:p w:rsidR="00E72B97" w:rsidRDefault="00E72B97">
            <w:proofErr w:type="spellStart"/>
            <w:r w:rsidRPr="00D40E5B">
              <w:rPr>
                <w:szCs w:val="20"/>
              </w:rPr>
              <w:t>nízkopodlažnej</w:t>
            </w:r>
            <w:proofErr w:type="spellEnd"/>
            <w:r w:rsidRPr="00D40E5B">
              <w:rPr>
                <w:szCs w:val="20"/>
              </w:rPr>
              <w:t xml:space="preserve"> zástavby</w:t>
            </w:r>
          </w:p>
        </w:tc>
        <w:tc>
          <w:tcPr>
            <w:tcW w:w="2379" w:type="dxa"/>
          </w:tcPr>
          <w:p w:rsidR="00700079" w:rsidRDefault="00D40E5B">
            <w:r>
              <w:t>S vylúčením motorovej dopravy</w:t>
            </w:r>
            <w:r>
              <w:t>; o</w:t>
            </w:r>
            <w:r w:rsidR="00E72B97">
              <w:t>bslužná doprava za stanovených podmienok</w:t>
            </w:r>
            <w:r>
              <w:t xml:space="preserve"> </w:t>
            </w:r>
            <w:r>
              <w:t>dovolená</w:t>
            </w:r>
            <w:r w:rsidR="00E72B97">
              <w:t xml:space="preserve"> </w:t>
            </w:r>
          </w:p>
          <w:p w:rsidR="00E72B97" w:rsidRDefault="00E72B97"/>
          <w:p w:rsidR="00E72B97" w:rsidRDefault="00E72B97">
            <w:r>
              <w:t>Priama obsluha všetkých objektov za stanovených podmienok premávky</w:t>
            </w:r>
          </w:p>
        </w:tc>
      </w:tr>
      <w:tr w:rsidR="00570C5A" w:rsidTr="00D40E5B">
        <w:trPr>
          <w:trHeight w:val="493"/>
        </w:trPr>
        <w:tc>
          <w:tcPr>
            <w:tcW w:w="978" w:type="dxa"/>
          </w:tcPr>
          <w:p w:rsidR="00570C5A" w:rsidRDefault="00570C5A">
            <w:r>
              <w:t>D2</w:t>
            </w:r>
          </w:p>
        </w:tc>
        <w:tc>
          <w:tcPr>
            <w:tcW w:w="3790" w:type="dxa"/>
          </w:tcPr>
          <w:p w:rsidR="00570C5A" w:rsidRDefault="00E72B97">
            <w:r>
              <w:t xml:space="preserve">Cyklistické komunikácie </w:t>
            </w:r>
            <w:r w:rsidR="00D40E5B">
              <w:br/>
            </w:r>
            <w:r>
              <w:t>(cestičky pre cyklistov)</w:t>
            </w:r>
          </w:p>
        </w:tc>
        <w:tc>
          <w:tcPr>
            <w:tcW w:w="2457" w:type="dxa"/>
          </w:tcPr>
          <w:p w:rsidR="00570C5A" w:rsidRDefault="00E72B97">
            <w:r>
              <w:t>Neobmedzená</w:t>
            </w:r>
          </w:p>
        </w:tc>
        <w:tc>
          <w:tcPr>
            <w:tcW w:w="2379" w:type="dxa"/>
            <w:vMerge w:val="restart"/>
          </w:tcPr>
          <w:p w:rsidR="00570C5A" w:rsidRDefault="00E72B97">
            <w:r>
              <w:t>Vylúčenie alebo oddelenie motorovej dopravy</w:t>
            </w:r>
          </w:p>
        </w:tc>
      </w:tr>
      <w:tr w:rsidR="00570C5A" w:rsidTr="00D40E5B">
        <w:trPr>
          <w:trHeight w:val="327"/>
        </w:trPr>
        <w:tc>
          <w:tcPr>
            <w:tcW w:w="978" w:type="dxa"/>
          </w:tcPr>
          <w:p w:rsidR="00570C5A" w:rsidRDefault="00570C5A">
            <w:r>
              <w:t>D3</w:t>
            </w:r>
            <w:r>
              <w:br/>
            </w:r>
          </w:p>
        </w:tc>
        <w:tc>
          <w:tcPr>
            <w:tcW w:w="3790" w:type="dxa"/>
          </w:tcPr>
          <w:p w:rsidR="00570C5A" w:rsidRDefault="00E72B97">
            <w:r>
              <w:t xml:space="preserve">Komunikácie pre chodcov </w:t>
            </w:r>
            <w:r w:rsidR="00D40E5B">
              <w:br/>
            </w:r>
            <w:r>
              <w:t>(priechody, cestičky, koridory, rampy)</w:t>
            </w:r>
          </w:p>
        </w:tc>
        <w:tc>
          <w:tcPr>
            <w:tcW w:w="2457" w:type="dxa"/>
          </w:tcPr>
          <w:p w:rsidR="00570C5A" w:rsidRDefault="00E72B97">
            <w:r>
              <w:t>Neobmedzená</w:t>
            </w:r>
          </w:p>
        </w:tc>
        <w:tc>
          <w:tcPr>
            <w:tcW w:w="2379" w:type="dxa"/>
            <w:vMerge/>
          </w:tcPr>
          <w:p w:rsidR="00570C5A" w:rsidRDefault="00570C5A"/>
        </w:tc>
      </w:tr>
    </w:tbl>
    <w:p w:rsidR="00F83034" w:rsidRDefault="00F83034"/>
    <w:sectPr w:rsidR="00F83034" w:rsidSect="004D0FBE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079"/>
    <w:rsid w:val="001100F5"/>
    <w:rsid w:val="00112EC2"/>
    <w:rsid w:val="002D2ECD"/>
    <w:rsid w:val="0032407D"/>
    <w:rsid w:val="003B7F9B"/>
    <w:rsid w:val="003F1A1C"/>
    <w:rsid w:val="004A1C22"/>
    <w:rsid w:val="004D0FBE"/>
    <w:rsid w:val="004D4D26"/>
    <w:rsid w:val="00570C5A"/>
    <w:rsid w:val="005954D9"/>
    <w:rsid w:val="006F2FE9"/>
    <w:rsid w:val="006F7F6F"/>
    <w:rsid w:val="00700079"/>
    <w:rsid w:val="00720022"/>
    <w:rsid w:val="007D4815"/>
    <w:rsid w:val="009E121A"/>
    <w:rsid w:val="00A73CF2"/>
    <w:rsid w:val="00C75D8F"/>
    <w:rsid w:val="00CB6201"/>
    <w:rsid w:val="00D40E5B"/>
    <w:rsid w:val="00E058A9"/>
    <w:rsid w:val="00E72B97"/>
    <w:rsid w:val="00EE2438"/>
    <w:rsid w:val="00F8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17C9"/>
  <w15:chartTrackingRefBased/>
  <w15:docId w15:val="{325BE751-DF4C-4969-B439-F0D42DAB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00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is">
    <w:name w:val="caption"/>
    <w:basedOn w:val="Normlny"/>
    <w:next w:val="Normlny"/>
    <w:uiPriority w:val="35"/>
    <w:unhideWhenUsed/>
    <w:qFormat/>
    <w:rsid w:val="004D0FB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C75D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cdb.sk/sk/Vystupy-CDB/Mapy-cestnej-siete-SR.al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ý odkaz" Version="1987"/>
</file>

<file path=customXml/itemProps1.xml><?xml version="1.0" encoding="utf-8"?>
<ds:datastoreItem xmlns:ds="http://schemas.openxmlformats.org/officeDocument/2006/customXml" ds:itemID="{0A85A37C-D225-411F-8DA1-B0E363A5B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Hokina, Branislav</dc:creator>
  <cp:keywords/>
  <dc:description/>
  <cp:lastModifiedBy>Ľos, Peter</cp:lastModifiedBy>
  <cp:revision>2</cp:revision>
  <dcterms:created xsi:type="dcterms:W3CDTF">2022-05-31T10:37:00Z</dcterms:created>
  <dcterms:modified xsi:type="dcterms:W3CDTF">2022-05-31T10:37:00Z</dcterms:modified>
</cp:coreProperties>
</file>