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8E9F5" w14:textId="7895C83A" w:rsidR="00CC6583" w:rsidRDefault="009D603A" w:rsidP="00CC6583">
      <w:pPr>
        <w:pStyle w:val="Default"/>
        <w:jc w:val="center"/>
        <w:rPr>
          <w:b/>
          <w:bCs/>
        </w:rPr>
      </w:pPr>
      <w:r w:rsidRPr="00F92367">
        <w:rPr>
          <w:b/>
          <w:bCs/>
          <w:color w:val="000000" w:themeColor="text1"/>
        </w:rPr>
        <w:t xml:space="preserve">Metodický pokyn č. </w:t>
      </w:r>
      <w:r w:rsidR="001C5DE5" w:rsidRPr="00F92367">
        <w:rPr>
          <w:b/>
          <w:bCs/>
          <w:color w:val="000000" w:themeColor="text1"/>
        </w:rPr>
        <w:t>27</w:t>
      </w:r>
      <w:r w:rsidR="00333A89" w:rsidRPr="00F92367">
        <w:rPr>
          <w:b/>
          <w:bCs/>
          <w:color w:val="000000" w:themeColor="text1"/>
        </w:rPr>
        <w:t>/2022</w:t>
      </w:r>
      <w:r w:rsidRPr="00F92367">
        <w:rPr>
          <w:b/>
          <w:bCs/>
          <w:color w:val="000000" w:themeColor="text1"/>
        </w:rPr>
        <w:t xml:space="preserve">, </w:t>
      </w:r>
      <w:r w:rsidRPr="00F92367">
        <w:rPr>
          <w:b/>
          <w:bCs/>
          <w:color w:val="000000" w:themeColor="text1"/>
        </w:rPr>
        <w:br/>
        <w:t>ktorým sa stanovuje mechanizmus úpravy ceny v dôsledku zmien nákladov pri projektoch opravy a údržby, pri výstavbe</w:t>
      </w:r>
      <w:r w:rsidRPr="009D603A">
        <w:rPr>
          <w:b/>
          <w:bCs/>
        </w:rPr>
        <w:t>, modernizácie a rekonštrukcie inžinierskych stavieb a budov – zmena zmluvy, rámcovej dohody a koncesnej zmluvy počas jej trvania</w:t>
      </w:r>
    </w:p>
    <w:p w14:paraId="1FA0159A" w14:textId="77777777" w:rsidR="00163936" w:rsidRPr="003749E8" w:rsidRDefault="00163936" w:rsidP="00CC6583">
      <w:pPr>
        <w:pStyle w:val="Default"/>
        <w:jc w:val="center"/>
      </w:pPr>
    </w:p>
    <w:p w14:paraId="7664BEAB" w14:textId="77777777" w:rsidR="00CC6583" w:rsidRDefault="00CC6583" w:rsidP="00032CAD">
      <w:pPr>
        <w:pStyle w:val="Default"/>
        <w:spacing w:before="160" w:after="160"/>
        <w:jc w:val="center"/>
        <w:rPr>
          <w:b/>
          <w:bCs/>
        </w:rPr>
      </w:pPr>
      <w:r w:rsidRPr="003749E8">
        <w:rPr>
          <w:b/>
          <w:bCs/>
        </w:rPr>
        <w:t>Článok 1</w:t>
      </w:r>
    </w:p>
    <w:p w14:paraId="11F39697" w14:textId="693A9672" w:rsidR="00CC6583" w:rsidRPr="00EA79F7" w:rsidRDefault="0057118B" w:rsidP="00CC6583">
      <w:pPr>
        <w:pStyle w:val="Odsekzoznamu"/>
        <w:numPr>
          <w:ilvl w:val="0"/>
          <w:numId w:val="5"/>
        </w:numPr>
        <w:spacing w:before="120" w:after="0" w:line="240" w:lineRule="auto"/>
        <w:ind w:left="0" w:firstLine="426"/>
        <w:contextualSpacing w:val="0"/>
        <w:jc w:val="both"/>
        <w:rPr>
          <w:color w:val="000000" w:themeColor="text1"/>
          <w:lang w:eastAsia="sk-SK"/>
        </w:rPr>
      </w:pPr>
      <w:r w:rsidRPr="00EA79F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002971" w:rsidRPr="00EA79F7">
        <w:rPr>
          <w:rFonts w:ascii="Times New Roman" w:hAnsi="Times New Roman"/>
          <w:color w:val="000000" w:themeColor="text1"/>
          <w:sz w:val="24"/>
          <w:szCs w:val="24"/>
          <w:lang w:eastAsia="sk-SK"/>
        </w:rPr>
        <w:t>Ministerstvo dopravy a výstavby Slovenskej republiky (ďalej len „ministerstvo“) vydáva tento metodický pokyn s cieľom stanoviť transparentný mechanizmus úpravy cien v rámci zmluvných podmienok pri projektoch opravy a údržby, výstavby, modernizácie  a rekonštrukcie inžinierskych stavieb</w:t>
      </w:r>
      <w:r w:rsidR="00002971" w:rsidRPr="00EA79F7">
        <w:rPr>
          <w:rStyle w:val="Odkaznapoznmkupodiarou"/>
          <w:rFonts w:ascii="Times New Roman" w:hAnsi="Times New Roman"/>
          <w:color w:val="000000" w:themeColor="text1"/>
          <w:sz w:val="24"/>
          <w:szCs w:val="24"/>
          <w:lang w:eastAsia="sk-SK"/>
        </w:rPr>
        <w:footnoteReference w:id="1"/>
      </w:r>
      <w:r w:rsidR="00002971" w:rsidRPr="00EA79F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 budov</w:t>
      </w:r>
      <w:r w:rsidR="004541A8">
        <w:rPr>
          <w:rStyle w:val="Odkaznapoznmkupodiarou"/>
          <w:rFonts w:ascii="Times New Roman" w:hAnsi="Times New Roman"/>
          <w:color w:val="000000" w:themeColor="text1"/>
          <w:sz w:val="24"/>
          <w:szCs w:val="24"/>
          <w:lang w:eastAsia="sk-SK"/>
        </w:rPr>
        <w:footnoteReference w:id="2"/>
      </w:r>
      <w:r w:rsidR="00002971" w:rsidRPr="00EA79F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(ďalej len ,,stavba“), zákaziek, ktoré boli zadané podľa zákona č. 343/2015 Z. z. o verejnom obstarávaní a o zmene a doplnení niektorých zákonov v znení neskorších predpisov, </w:t>
      </w:r>
      <w:r w:rsidR="00BF4CD2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(ďalej „ZVO“) alebo sú obstarávané podľa interných predpisov verejných obstarávateľov a obstarávateľov v súlade so ZVO, </w:t>
      </w:r>
      <w:r w:rsidR="00002971" w:rsidRPr="00EA79F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u ktorých </w:t>
      </w:r>
      <w:r w:rsidR="002F641A" w:rsidRPr="00EA79F7">
        <w:rPr>
          <w:rFonts w:ascii="Times New Roman" w:hAnsi="Times New Roman"/>
          <w:color w:val="000000" w:themeColor="text1"/>
          <w:sz w:val="24"/>
          <w:szCs w:val="24"/>
          <w:lang w:eastAsia="sk-SK"/>
        </w:rPr>
        <w:t>už</w:t>
      </w:r>
      <w:r w:rsidR="00002971" w:rsidRPr="00EA79F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uplynula </w:t>
      </w:r>
      <w:r w:rsidR="00FA0605" w:rsidRPr="00EA79F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lehota na predkladanie ponúk, </w:t>
      </w:r>
      <w:r w:rsidR="00002971" w:rsidRPr="00EA79F7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 prípade verejných ob</w:t>
      </w:r>
      <w:r w:rsidR="002F641A" w:rsidRPr="00EA79F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starávaní (ďalej len „súťaž“), </w:t>
      </w:r>
      <w:r w:rsidR="00002971" w:rsidRPr="00EA79F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ktoré </w:t>
      </w:r>
      <w:r w:rsidR="00737A52">
        <w:rPr>
          <w:rFonts w:ascii="Times New Roman" w:hAnsi="Times New Roman"/>
          <w:color w:val="000000" w:themeColor="text1"/>
          <w:sz w:val="24"/>
          <w:szCs w:val="24"/>
          <w:lang w:eastAsia="sk-SK"/>
        </w:rPr>
        <w:br/>
      </w:r>
      <w:r w:rsidR="002F641A" w:rsidRPr="00EA79F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už boli </w:t>
      </w:r>
      <w:r w:rsidR="00002971" w:rsidRPr="00EA79F7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vyhlásené</w:t>
      </w:r>
      <w:r w:rsidR="00FA0605" w:rsidRPr="00EA79F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 v prípade verejných obstarávaní, pri ktorých už došlo k podpisu zmluvy </w:t>
      </w:r>
      <w:r w:rsidR="00737A52">
        <w:rPr>
          <w:rFonts w:ascii="Times New Roman" w:hAnsi="Times New Roman"/>
          <w:color w:val="000000" w:themeColor="text1"/>
          <w:sz w:val="24"/>
          <w:szCs w:val="24"/>
          <w:lang w:eastAsia="sk-SK"/>
        </w:rPr>
        <w:br/>
      </w:r>
      <w:r w:rsidR="00FA0605" w:rsidRPr="00EA79F7">
        <w:rPr>
          <w:rFonts w:ascii="Times New Roman" w:hAnsi="Times New Roman"/>
          <w:color w:val="000000" w:themeColor="text1"/>
          <w:sz w:val="24"/>
          <w:szCs w:val="24"/>
          <w:lang w:eastAsia="sk-SK"/>
        </w:rPr>
        <w:t>so zhotoviteľom</w:t>
      </w:r>
      <w:r w:rsidR="00CC6583" w:rsidRPr="00EA79F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. </w:t>
      </w:r>
    </w:p>
    <w:p w14:paraId="48E4EB0F" w14:textId="2A6E90FE" w:rsidR="00CC6583" w:rsidRPr="00EA79F7" w:rsidRDefault="0057118B" w:rsidP="00BF4CD2">
      <w:pPr>
        <w:pStyle w:val="Odsekzoznamu"/>
        <w:numPr>
          <w:ilvl w:val="0"/>
          <w:numId w:val="5"/>
        </w:numPr>
        <w:spacing w:before="120" w:after="0" w:line="240" w:lineRule="auto"/>
        <w:ind w:left="0" w:firstLine="426"/>
        <w:contextualSpacing w:val="0"/>
        <w:jc w:val="both"/>
        <w:rPr>
          <w:color w:val="000000" w:themeColor="text1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002971" w:rsidRPr="00EA79F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Metodický pokyn</w:t>
      </w:r>
      <w:r w:rsidR="00002971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určený  organizačným útvarom Úradu, ktorým je ministerstvo </w:t>
      </w:r>
      <w:r w:rsidR="00A24436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02971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právnickým osobám v zakladateľskej a zriaďovateľskej pôsobnosti ministerstva (rozpočtové organizácie, obchodné spoločnosti s majetkovou účasťou štátu a štátne podnikateľské organizácie), ktoré sú financované úplne alebo čiastočne z verejných prostriedkov, a ktoré zabezpečujú prípravu a realizáciu </w:t>
      </w:r>
      <w:r w:rsidR="00BF4CD2" w:rsidRPr="00BF4CD2">
        <w:rPr>
          <w:rFonts w:ascii="Times New Roman" w:hAnsi="Times New Roman" w:cs="Times New Roman"/>
          <w:color w:val="000000" w:themeColor="text1"/>
          <w:sz w:val="24"/>
          <w:szCs w:val="24"/>
        </w:rPr>
        <w:t>inžinierskych stavieb a budov</w:t>
      </w:r>
      <w:r w:rsidR="00BF4CD2" w:rsidRPr="00BF4CD2" w:rsidDel="00BF4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2971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financovaných z verejných prostriedkov</w:t>
      </w:r>
      <w:r w:rsidR="00002971" w:rsidRPr="00EA79F7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</w:rPr>
        <w:footnoteReference w:id="3"/>
      </w:r>
      <w:r w:rsidR="00002971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50F0A8" w14:textId="35F6C9B0" w:rsidR="0057118B" w:rsidRPr="00EA79F7" w:rsidRDefault="0057118B" w:rsidP="0057118B">
      <w:pPr>
        <w:pStyle w:val="Odsekzoznamu"/>
        <w:numPr>
          <w:ilvl w:val="0"/>
          <w:numId w:val="5"/>
        </w:numPr>
        <w:spacing w:before="120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2C5250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V zmysle</w:t>
      </w:r>
      <w:r w:rsidRPr="00EA79F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EA79F7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sk-SK"/>
        </w:rPr>
        <w:t xml:space="preserve">„Všeobecného metodického usmernenia Úradu pre verejné obstarávanie </w:t>
      </w:r>
      <w:r w:rsidR="00737A52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sk-SK"/>
        </w:rPr>
        <w:br/>
      </w:r>
      <w:r w:rsidRPr="00EA79F7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sk-SK"/>
        </w:rPr>
        <w:t xml:space="preserve">k </w:t>
      </w:r>
      <w:r w:rsidRPr="00F92367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sk-SK"/>
        </w:rPr>
        <w:t xml:space="preserve">aplikácii §18 ods. 1 písm. c) zákona č. 343/2015 Z. z o verejnom obstarávaní a o zmene </w:t>
      </w:r>
      <w:r w:rsidR="00737A52" w:rsidRPr="00F92367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sk-SK"/>
        </w:rPr>
        <w:br/>
      </w:r>
      <w:r w:rsidRPr="00F92367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sk-SK"/>
        </w:rPr>
        <w:t>a doplnení niektorých zákonov</w:t>
      </w:r>
      <w:r w:rsidR="00FA0605" w:rsidRPr="00F92367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sk-SK"/>
        </w:rPr>
        <w:t>“</w:t>
      </w:r>
      <w:r w:rsidRPr="00F9236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z mája 2022 </w:t>
      </w:r>
      <w:r w:rsidR="00FA0605" w:rsidRPr="00F9236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č. 6/2022 </w:t>
      </w:r>
      <w:r w:rsidR="00CE5F46" w:rsidRPr="00F9236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má </w:t>
      </w:r>
      <w:r w:rsidR="002C5250" w:rsidRPr="00F9236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M</w:t>
      </w:r>
      <w:r w:rsidR="00CE5F46" w:rsidRPr="00F9236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etodický pokyn </w:t>
      </w:r>
      <w:r w:rsidR="002C5250" w:rsidRPr="00F9236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ministerstva </w:t>
      </w:r>
      <w:r w:rsidR="00737A52" w:rsidRPr="00F9236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br/>
      </w:r>
      <w:r w:rsidR="002C5250" w:rsidRPr="00F9236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č. </w:t>
      </w:r>
      <w:r w:rsidR="001C5DE5" w:rsidRPr="00F9236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27</w:t>
      </w:r>
      <w:r w:rsidR="002C5250" w:rsidRPr="00F9236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/2022 </w:t>
      </w:r>
      <w:r w:rsidR="00CE5F46" w:rsidRPr="00F9236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za cieľ definovať </w:t>
      </w:r>
      <w:r w:rsidRPr="00F9236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mechanizmus pre uplatňovanie nárokov zhotoviteľov </w:t>
      </w:r>
      <w:r w:rsidR="00CE5F46" w:rsidRPr="00F9236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vzhľadom na nepredvídateľné nárasty </w:t>
      </w:r>
      <w:r w:rsidR="00463F40" w:rsidRPr="00F9236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cien </w:t>
      </w:r>
      <w:r w:rsidR="00CE5F46" w:rsidRPr="00F9236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stavebných materiálov </w:t>
      </w:r>
      <w:r w:rsidRPr="00F9236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tak, aby bola splnená podmienka preukázania príčinnej súvislosti medzi skokovým nepredvídateľným nárastom vybraných stavebných materiálov </w:t>
      </w:r>
      <w:r w:rsidRPr="00EA79F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spôsobeným pandémiou COVID-19 a vojnou Ruskej federácie na území Ukrajiny.</w:t>
      </w:r>
    </w:p>
    <w:p w14:paraId="3DF5F288" w14:textId="3CF08B59" w:rsidR="00FE79C0" w:rsidRPr="00EA79F7" w:rsidRDefault="00FE79C0" w:rsidP="00032CAD">
      <w:pPr>
        <w:pStyle w:val="Default"/>
        <w:spacing w:before="160" w:after="160"/>
        <w:jc w:val="center"/>
        <w:rPr>
          <w:b/>
          <w:bCs/>
          <w:color w:val="000000" w:themeColor="text1"/>
        </w:rPr>
      </w:pPr>
      <w:r w:rsidRPr="00EA79F7">
        <w:rPr>
          <w:b/>
          <w:bCs/>
          <w:color w:val="000000" w:themeColor="text1"/>
        </w:rPr>
        <w:t xml:space="preserve">Článok </w:t>
      </w:r>
      <w:r w:rsidR="00CC6583" w:rsidRPr="00EA79F7">
        <w:rPr>
          <w:b/>
          <w:bCs/>
          <w:color w:val="000000" w:themeColor="text1"/>
        </w:rPr>
        <w:t>2</w:t>
      </w:r>
    </w:p>
    <w:p w14:paraId="50F051F1" w14:textId="643F2BCF" w:rsidR="000E136B" w:rsidRPr="00EA79F7" w:rsidRDefault="0057118B" w:rsidP="000E136B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2F641A" w:rsidRPr="00EA79F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Metodický pokyn a mechanizmus úpravy ceny sú </w:t>
      </w:r>
      <w:r w:rsidR="000E136B" w:rsidRPr="00EA79F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verejní o</w:t>
      </w:r>
      <w:r w:rsidR="002F641A" w:rsidRPr="00EA79F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bstarávatelia a obstarávatelia </w:t>
      </w:r>
      <w:r w:rsidR="000E136B" w:rsidRPr="00EA79F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(ďalej len „obstarávateľ“)</w:t>
      </w:r>
      <w:r w:rsidR="000E136B" w:rsidRPr="00EA79F7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footnoteReference w:id="4"/>
      </w:r>
      <w:r w:rsidR="000E136B" w:rsidRPr="00EA79F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povinní uplatňovať </w:t>
      </w:r>
      <w:r w:rsidR="002F641A" w:rsidRPr="00EA79F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na výpočet hodnoty dodatku zmluvy </w:t>
      </w:r>
      <w:r w:rsidR="00B90AB1" w:rsidRPr="00EA79F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(</w:t>
      </w:r>
      <w:r w:rsidR="00646DC6" w:rsidRPr="00EA79F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navýšení a </w:t>
      </w:r>
      <w:r w:rsidR="00B90AB1" w:rsidRPr="00EA79F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nárokov) </w:t>
      </w:r>
      <w:r w:rsidR="000E136B" w:rsidRPr="00EA79F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v dôsledku </w:t>
      </w:r>
      <w:r w:rsidR="002F641A" w:rsidRPr="00EA79F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vopred </w:t>
      </w:r>
      <w:r w:rsidRPr="00EA79F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nepredvídateľných</w:t>
      </w:r>
      <w:r w:rsidR="002F641A" w:rsidRPr="00EA79F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0E136B" w:rsidRPr="00EA79F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zmien nákladov </w:t>
      </w:r>
      <w:r w:rsidR="00737A52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br/>
      </w:r>
      <w:r w:rsidR="002F641A" w:rsidRPr="00EA79F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na </w:t>
      </w:r>
      <w:r w:rsidR="00F71AAF" w:rsidRPr="00EA79F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stavebné </w:t>
      </w:r>
      <w:r w:rsidR="00FA0605" w:rsidRPr="00EA79F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materiály </w:t>
      </w:r>
      <w:r w:rsidR="000E136B" w:rsidRPr="00EA79F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(ďalej len „mechanizmus </w:t>
      </w:r>
      <w:r w:rsidR="00B90AB1" w:rsidRPr="00EA79F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výpočtu </w:t>
      </w:r>
      <w:r w:rsidR="00646DC6" w:rsidRPr="00EA79F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navýšenia</w:t>
      </w:r>
      <w:r w:rsidR="000E136B" w:rsidRPr="00EA79F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“) pri všetkých </w:t>
      </w:r>
      <w:r w:rsidR="00646DC6" w:rsidRPr="00EA79F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obstaraných</w:t>
      </w:r>
      <w:r w:rsidR="000E136B" w:rsidRPr="00EA79F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stavbách v zmysle Článku 1, ods. 1. </w:t>
      </w:r>
    </w:p>
    <w:p w14:paraId="424158D2" w14:textId="56BE09C9" w:rsidR="00014970" w:rsidRPr="00EA79F7" w:rsidRDefault="0057118B" w:rsidP="00014970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641A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Metodický pokyn a z neho vychádzajúci mechanizmus </w:t>
      </w:r>
      <w:r w:rsidR="00B90AB1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výpočtu </w:t>
      </w:r>
      <w:r w:rsidR="00646DC6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navýšenia</w:t>
      </w:r>
      <w:r w:rsidR="002F641A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stanovuje </w:t>
      </w:r>
      <w:r w:rsidR="001A550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F641A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3 časové obdobia</w:t>
      </w:r>
      <w:r w:rsidR="00620418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67C5F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FF95584" w14:textId="4A4B1620" w:rsidR="00014970" w:rsidRPr="00EA79F7" w:rsidRDefault="00BA3AC4" w:rsidP="00B56DF6">
      <w:pPr>
        <w:pStyle w:val="Odsekzoznamu"/>
        <w:numPr>
          <w:ilvl w:val="1"/>
          <w:numId w:val="6"/>
        </w:numPr>
        <w:spacing w:before="160" w:line="240" w:lineRule="auto"/>
        <w:ind w:left="851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referenčným </w:t>
      </w:r>
      <w:r w:rsidR="00F52B2F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dlhodobým </w:t>
      </w: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obdobím (označené ako obdobie „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Obdobie 0</m:t>
        </m:r>
      </m:oMath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“) je </w:t>
      </w:r>
      <w:r w:rsidR="002F641A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časový úsek od </w:t>
      </w:r>
      <w:r w:rsidR="00F52B2F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januára 200</w:t>
      </w:r>
      <w:r w:rsidR="00C4419A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52B2F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F52B2F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decembra 2020;</w:t>
      </w:r>
    </w:p>
    <w:p w14:paraId="7B529200" w14:textId="47331926" w:rsidR="00067C5F" w:rsidRPr="00EA79F7" w:rsidRDefault="00F52B2F" w:rsidP="00C0550D">
      <w:pPr>
        <w:pStyle w:val="Odsekzoznamu"/>
        <w:numPr>
          <w:ilvl w:val="1"/>
          <w:numId w:val="6"/>
        </w:numPr>
        <w:spacing w:before="160" w:line="240" w:lineRule="auto"/>
        <w:ind w:left="851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obdobím s výrazným vplyvom pandémie COVID-19 </w:t>
      </w:r>
      <w:r w:rsidR="00F71AAF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následných </w:t>
      </w:r>
      <w:r w:rsidR="00D1188C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celosvetových </w:t>
      </w:r>
      <w:r w:rsidR="00F71AAF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narušení výroby a dodávateľsko-odberateľských </w:t>
      </w:r>
      <w:r w:rsidR="00D1188C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reťazcov </w:t>
      </w: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146113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materiálové </w:t>
      </w: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náklady zhotoviteľov je časový úsek od januára 2021 do decembra 2021</w:t>
      </w:r>
      <w:r w:rsidR="00520C4D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(označené </w:t>
      </w:r>
      <w:r w:rsidR="001A550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20C4D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ako obdobie „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Obdobie 1</m:t>
        </m:r>
      </m:oMath>
      <w:r w:rsidR="00520C4D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99674E0" w14:textId="5CCB85D5" w:rsidR="001A3DC0" w:rsidRDefault="00F52B2F" w:rsidP="00B56DF6">
      <w:pPr>
        <w:pStyle w:val="Odsekzoznamu"/>
        <w:numPr>
          <w:ilvl w:val="1"/>
          <w:numId w:val="6"/>
        </w:numPr>
        <w:spacing w:before="160" w:line="240" w:lineRule="auto"/>
        <w:ind w:left="851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obdobím s výrazným vplyvom </w:t>
      </w:r>
      <w:r w:rsidR="00511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eskalácie napätia a následnej </w:t>
      </w: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vojny Ruskej federácie na území Ukrajiny na </w:t>
      </w:r>
      <w:r w:rsidR="00146113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materiálové </w:t>
      </w: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náklady zhotoviteľov je časový úsek od januára 2022 do </w:t>
      </w:r>
      <w:r w:rsidR="00146113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ukončenia vojny Ruskej federácie na území Ukrajiny </w:t>
      </w: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(označené ako obdobie „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Obdobie 2</m:t>
        </m:r>
      </m:oMath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“).</w:t>
      </w:r>
    </w:p>
    <w:p w14:paraId="06DA35EB" w14:textId="2AA77001" w:rsidR="001A3DC0" w:rsidRDefault="001A3DC0" w:rsidP="00B56DF6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3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 aplikáciu mechanizmu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úpravy ceny </w:t>
      </w:r>
      <w:r w:rsidRPr="001A3DC0">
        <w:rPr>
          <w:rFonts w:ascii="Times New Roman" w:hAnsi="Times New Roman" w:cs="Times New Roman"/>
          <w:color w:val="000000" w:themeColor="text1"/>
          <w:sz w:val="24"/>
          <w:szCs w:val="24"/>
        </w:rPr>
        <w:t>je rozhodujúcim obdobím kvartál, pričom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80B1EC" w14:textId="01AAEE90" w:rsidR="001A3DC0" w:rsidRDefault="001A3DC0" w:rsidP="00B56DF6">
      <w:pPr>
        <w:pStyle w:val="Odsekzoznamu"/>
        <w:numPr>
          <w:ilvl w:val="0"/>
          <w:numId w:val="16"/>
        </w:numPr>
        <w:spacing w:before="16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referenčným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kvartálom</w:t>
      </w:r>
      <w:r w:rsidRPr="00B56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(označené ako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kvartál</w:t>
      </w:r>
      <w:r w:rsidRPr="00B56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B56DF6">
        <w:rPr>
          <w:rFonts w:ascii="Times New Roman" w:hAnsi="Times New Roman" w:cs="Times New Roman"/>
          <w:color w:val="000000" w:themeColor="text1"/>
          <w:sz w:val="24"/>
          <w:szCs w:val="24"/>
        </w:rPr>
        <w:t>“) je kvartál do ktorého spadá kalendárny deň, v ktorý uplynula lehota na predkladanie ponúk do súťaže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A5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56DF6">
        <w:rPr>
          <w:rFonts w:ascii="Times New Roman" w:hAnsi="Times New Roman" w:cs="Times New Roman"/>
          <w:color w:val="000000" w:themeColor="text1"/>
          <w:sz w:val="24"/>
          <w:szCs w:val="24"/>
        </w:rPr>
        <w:t>na zhotovenie stavby;</w:t>
      </w:r>
    </w:p>
    <w:p w14:paraId="7223DC08" w14:textId="332FF670" w:rsidR="001A3DC0" w:rsidRDefault="001A3DC0" w:rsidP="00B56DF6">
      <w:pPr>
        <w:pStyle w:val="Odsekzoznamu"/>
        <w:numPr>
          <w:ilvl w:val="0"/>
          <w:numId w:val="16"/>
        </w:numPr>
        <w:spacing w:before="16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rozhodujúcim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kvartálom</w:t>
      </w:r>
      <w:r w:rsidRPr="00B56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(označené ako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kvartál</w:t>
      </w:r>
      <w:r w:rsidRPr="00B56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Pr="00B56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“), je kvartál,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 ktorom prebiehala realizácia stavby a</w:t>
      </w:r>
      <w:r w:rsidR="004D0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za ktorý </w:t>
      </w:r>
      <w:r w:rsidRPr="00B56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zhotoviteľ stavby uplatňuje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mechanizmus úpravy ceny</w:t>
      </w:r>
      <w:r w:rsidR="004D0F5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F56D402" w14:textId="642FBE53" w:rsidR="004D0F5D" w:rsidRPr="00B56DF6" w:rsidRDefault="004D0F5D" w:rsidP="00B56DF6">
      <w:pPr>
        <w:pStyle w:val="Odsekzoznamu"/>
        <w:numPr>
          <w:ilvl w:val="0"/>
          <w:numId w:val="16"/>
        </w:numPr>
        <w:spacing w:before="16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obdobím na výpočet očakávaného rizika </w:t>
      </w:r>
      <w:r w:rsidRPr="00B56DF6">
        <w:rPr>
          <w:rFonts w:ascii="Times New Roman" w:hAnsi="Times New Roman" w:cs="Times New Roman"/>
          <w:color w:val="000000" w:themeColor="text1"/>
          <w:sz w:val="24"/>
          <w:szCs w:val="24"/>
        </w:rPr>
        <w:t>(označené ako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riziko</m:t>
            </m:r>
          </m:sub>
        </m:sSub>
      </m:oMath>
      <w:r w:rsidRPr="00B56DF6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A5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základe </w:t>
      </w:r>
      <w:r w:rsidR="00AA0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vývoja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ceny konkrétneho vybraného stavebného materiálu </w:t>
      </w: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(„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obdobie </w:t>
      </w:r>
      <w:r w:rsidR="0079376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rokov predchádzajúce referenčnému kvartálu </w:t>
      </w:r>
      <w:r w:rsidRPr="00B56DF6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B56DF6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21A1EE" w14:textId="0D3AB86C" w:rsidR="00F52B2F" w:rsidRPr="00EA79F7" w:rsidRDefault="0057118B" w:rsidP="00703195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2B2F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Zhotoviteľ si môže uplatniť mechanizmus </w:t>
      </w:r>
      <w:r w:rsidR="00B90AB1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výpočtu </w:t>
      </w:r>
      <w:r w:rsidR="00646DC6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navýšenia</w:t>
      </w:r>
      <w:r w:rsidR="00463F40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(výpočet hodnoty dodatku) </w:t>
      </w:r>
      <w:r w:rsidR="00F52B2F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511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kvartály v </w:t>
      </w:r>
      <w:r w:rsidR="00FA0605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Obdobie 1</m:t>
        </m:r>
      </m:oMath>
      <w:r w:rsidR="00FA0605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F52B2F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A0605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511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kvartály v </w:t>
      </w:r>
      <w:r w:rsidR="00FA0605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Obdobie 2</m:t>
        </m:r>
      </m:oMath>
      <w:r w:rsidR="00FA0605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“, </w:t>
      </w:r>
      <w:r w:rsidR="00F52B2F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alebo súčasne za </w:t>
      </w:r>
      <w:r w:rsidR="00511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kvartály </w:t>
      </w:r>
      <w:r w:rsidR="00737A5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11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</w:t>
      </w:r>
      <w:r w:rsidR="00D7410C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Obdobie 1</m:t>
        </m:r>
      </m:oMath>
      <w:r w:rsidR="00D7410C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F52B2F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D7410C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Obdobie 2</m:t>
        </m:r>
      </m:oMath>
      <w:r w:rsidR="00D7410C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F52B2F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46113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Vzhľadom na to, že </w:t>
      </w:r>
      <w:r w:rsidR="00D7410C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Obdobie 2</m:t>
        </m:r>
      </m:oMath>
      <w:r w:rsidR="00D7410C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146113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je </w:t>
      </w:r>
      <w:r w:rsidR="00262ED2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v čase vydávania tohto metodického pokynu </w:t>
      </w:r>
      <w:r w:rsidR="00900E35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prebiehajúce a neukončené</w:t>
      </w:r>
      <w:r w:rsidR="00146113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zhotoviteľ si za dané obdobie môže </w:t>
      </w:r>
      <w:r w:rsidR="00737A5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="00146113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za realizáciu v danom období uplatniť viaceré žiadosti </w:t>
      </w:r>
      <w:r w:rsidR="00B90AB1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s mechanizmom výpočtu </w:t>
      </w:r>
      <w:r w:rsidR="00646DC6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navýšenia</w:t>
      </w:r>
      <w:r w:rsidR="00B90AB1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900E35" w:rsidRPr="00EA79F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v dôsledku vopred nepredvídateľných zmien nákladov</w:t>
      </w:r>
      <w:r w:rsidR="00146113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23CFDA99" w14:textId="512A92B5" w:rsidR="00A97C7A" w:rsidRPr="00EA79F7" w:rsidRDefault="0057118B" w:rsidP="00832A30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</w:t>
      </w:r>
      <w:r w:rsidR="00463F40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chanizmus </w:t>
      </w:r>
      <w:r w:rsidR="00B90AB1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výpočtu </w:t>
      </w:r>
      <w:r w:rsidR="00646DC6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navýšenia</w:t>
      </w:r>
      <w:r w:rsidR="00463F40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stanovuje </w:t>
      </w:r>
      <w:r w:rsidR="00B10B7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10B7E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súhrnných predstaviteľov </w:t>
      </w:r>
      <w:r w:rsidR="00832A30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stavebných materiálov </w:t>
      </w: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(tzv. kotiev), ktoré v sebe obsahujú prislúchajúce vybrané stavebné materiály podľa členenia CPA</w:t>
      </w:r>
      <w:r w:rsidR="00832A30" w:rsidRPr="00EA79F7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</w:rPr>
        <w:footnoteReference w:id="5"/>
      </w:r>
      <w:r w:rsidR="00832A30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 verzii 2015</w:t>
      </w:r>
      <w:r w:rsidR="00520C4D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Tieto materiály boli vybrané tak, že reprezentujú väčšinu nákladov stavby</w:t>
      </w:r>
      <w:r w:rsidR="00832A30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Použitie vybraných konkrétnych najpoužívanejších stavebných materiálov </w:t>
      </w:r>
      <w:r w:rsidR="001A550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2A30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má za cieľ zvýšiť adresnosť a rozlíšenie jednotlivých stavieb podľa použitých materiálov, </w:t>
      </w:r>
      <w:r w:rsidR="001A550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2A30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t. j. adresnejšie reagovať na zmeny cien na trhu materiálov. </w:t>
      </w:r>
      <w:r w:rsidR="00E87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Zhotoviteľ môže žiadať o navýšenie </w:t>
      </w:r>
      <w:r w:rsidR="00737A5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87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511FFC">
        <w:rPr>
          <w:rFonts w:ascii="Times New Roman" w:hAnsi="Times New Roman" w:cs="Times New Roman"/>
          <w:color w:val="000000" w:themeColor="text1"/>
          <w:sz w:val="24"/>
          <w:szCs w:val="24"/>
        </w:rPr>
        <w:t>jeden materiál</w:t>
      </w:r>
      <w:r w:rsidR="00E87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alebo aj viacero, vzhľadom na preukázateľne nepredvídateľný nárast cien daných stavebných materiálov. </w:t>
      </w:r>
      <w:r w:rsidR="00832A30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Členenie súhrnných predstaviteľov stavebných materiálov </w:t>
      </w:r>
      <w:r w:rsidR="00511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A5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11FFC">
        <w:rPr>
          <w:rFonts w:ascii="Times New Roman" w:hAnsi="Times New Roman" w:cs="Times New Roman"/>
          <w:color w:val="000000" w:themeColor="text1"/>
          <w:sz w:val="24"/>
          <w:szCs w:val="24"/>
        </w:rPr>
        <w:t>na prislúchajúce materiály</w:t>
      </w:r>
      <w:r w:rsidR="00753C8E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označené ako </w:t>
      </w:r>
      <w:r w:rsidR="00753C8E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511FFC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511FF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11FFC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2A30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je nasledovné:</w:t>
      </w:r>
    </w:p>
    <w:p w14:paraId="79219062" w14:textId="48887BE0" w:rsidR="002903B7" w:rsidRDefault="002903B7" w:rsidP="00832A30">
      <w:pPr>
        <w:pStyle w:val="Odsekzoznamu"/>
        <w:numPr>
          <w:ilvl w:val="1"/>
          <w:numId w:val="4"/>
        </w:num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Kamene, piesky</w:t>
      </w:r>
      <w:r w:rsidR="0064716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E63A695" w14:textId="29D17DA4" w:rsidR="002903B7" w:rsidRDefault="002903B7" w:rsidP="002903B7">
      <w:pPr>
        <w:pStyle w:val="Odsekzoznamu"/>
        <w:numPr>
          <w:ilvl w:val="2"/>
          <w:numId w:val="4"/>
        </w:num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CPA 08.11 </w:t>
      </w:r>
      <w:r w:rsidRPr="002903B7">
        <w:rPr>
          <w:rFonts w:ascii="Times New Roman" w:hAnsi="Times New Roman" w:cs="Times New Roman"/>
          <w:color w:val="000000" w:themeColor="text1"/>
          <w:sz w:val="24"/>
          <w:szCs w:val="24"/>
        </w:rPr>
        <w:t>Dekoračné a stavebné kamene, vápenec, sadrovec, krieda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903B7">
        <w:rPr>
          <w:rFonts w:ascii="Times New Roman" w:hAnsi="Times New Roman" w:cs="Times New Roman"/>
          <w:color w:val="000000" w:themeColor="text1"/>
          <w:sz w:val="24"/>
          <w:szCs w:val="24"/>
        </w:rPr>
        <w:t>bridlica</w:t>
      </w:r>
      <w:r w:rsidR="0064716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6B06831" w14:textId="30E08F7C" w:rsidR="00647168" w:rsidRPr="00B10B7E" w:rsidRDefault="002903B7" w:rsidP="00B10B7E">
      <w:pPr>
        <w:pStyle w:val="Odsekzoznamu"/>
        <w:numPr>
          <w:ilvl w:val="2"/>
          <w:numId w:val="4"/>
        </w:num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CPA 08.12 </w:t>
      </w:r>
      <w:r w:rsidRPr="002903B7">
        <w:rPr>
          <w:rFonts w:ascii="Times New Roman" w:hAnsi="Times New Roman" w:cs="Times New Roman"/>
          <w:color w:val="000000" w:themeColor="text1"/>
          <w:sz w:val="24"/>
          <w:szCs w:val="24"/>
        </w:rPr>
        <w:t>Prírodné piesky</w:t>
      </w:r>
      <w:r w:rsidR="006471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9C3129" w14:textId="3A8DCB63" w:rsidR="00832A30" w:rsidRPr="00EA79F7" w:rsidRDefault="004C52DE" w:rsidP="00832A30">
      <w:pPr>
        <w:pStyle w:val="Odsekzoznamu"/>
        <w:numPr>
          <w:ilvl w:val="1"/>
          <w:numId w:val="4"/>
        </w:num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Drevo</w:t>
      </w:r>
      <w:r w:rsidR="00832A30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D16F92D" w14:textId="0B900A05" w:rsidR="00832A30" w:rsidRPr="00EA79F7" w:rsidRDefault="00832A30" w:rsidP="00832A30">
      <w:pPr>
        <w:pStyle w:val="Odsekzoznamu"/>
        <w:numPr>
          <w:ilvl w:val="2"/>
          <w:numId w:val="4"/>
        </w:num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CPA 16.10 Drevo, rezané a hobľované, </w:t>
      </w:r>
    </w:p>
    <w:p w14:paraId="25621E92" w14:textId="4E5E9D3D" w:rsidR="00832A30" w:rsidRPr="00EA79F7" w:rsidRDefault="00832A30" w:rsidP="00832A30">
      <w:pPr>
        <w:pStyle w:val="Odsekzoznamu"/>
        <w:numPr>
          <w:ilvl w:val="2"/>
          <w:numId w:val="4"/>
        </w:num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CPA 16.21 Dyhy a drevené panely, </w:t>
      </w:r>
    </w:p>
    <w:p w14:paraId="403B9E2E" w14:textId="3B3DF92E" w:rsidR="00832A30" w:rsidRPr="00EA79F7" w:rsidRDefault="00832A30" w:rsidP="00832A30">
      <w:pPr>
        <w:pStyle w:val="Odsekzoznamu"/>
        <w:numPr>
          <w:ilvl w:val="2"/>
          <w:numId w:val="4"/>
        </w:num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CPA 16.23 Ostatné výrobky stavebného stolárstva a tesárstva.</w:t>
      </w:r>
    </w:p>
    <w:p w14:paraId="4A302E11" w14:textId="77777777" w:rsidR="00832A30" w:rsidRPr="00EA79F7" w:rsidRDefault="00832A30" w:rsidP="00832A30">
      <w:pPr>
        <w:pStyle w:val="Odsekzoznamu"/>
        <w:numPr>
          <w:ilvl w:val="1"/>
          <w:numId w:val="4"/>
        </w:num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Bitúmenové zmesi:</w:t>
      </w:r>
    </w:p>
    <w:p w14:paraId="35641679" w14:textId="123DDF05" w:rsidR="00832A30" w:rsidRPr="00EA79F7" w:rsidRDefault="00AF2D58" w:rsidP="00647168">
      <w:pPr>
        <w:pStyle w:val="Odsekzoznamu"/>
        <w:numPr>
          <w:ilvl w:val="2"/>
          <w:numId w:val="4"/>
        </w:num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CPA </w:t>
      </w:r>
      <w:r w:rsidR="00647168" w:rsidRPr="00647168">
        <w:rPr>
          <w:rFonts w:ascii="Times New Roman" w:hAnsi="Times New Roman" w:cs="Times New Roman"/>
          <w:color w:val="000000" w:themeColor="text1"/>
          <w:sz w:val="24"/>
          <w:szCs w:val="24"/>
        </w:rPr>
        <w:t>19.20 Rafinérske ropné produkty</w:t>
      </w:r>
      <w:r w:rsidR="00832A30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BEE0B2" w14:textId="77777777" w:rsidR="00832A30" w:rsidRPr="00EA79F7" w:rsidRDefault="00832A30" w:rsidP="00832A30">
      <w:pPr>
        <w:pStyle w:val="Odsekzoznamu"/>
        <w:numPr>
          <w:ilvl w:val="1"/>
          <w:numId w:val="4"/>
        </w:num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Plasty:</w:t>
      </w:r>
    </w:p>
    <w:p w14:paraId="4C7F012D" w14:textId="31D192F3" w:rsidR="00647168" w:rsidRDefault="00647168" w:rsidP="00647168">
      <w:pPr>
        <w:pStyle w:val="Odsekzoznamu"/>
        <w:numPr>
          <w:ilvl w:val="2"/>
          <w:numId w:val="4"/>
        </w:num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168">
        <w:rPr>
          <w:rFonts w:ascii="Times New Roman" w:hAnsi="Times New Roman" w:cs="Times New Roman"/>
          <w:color w:val="000000" w:themeColor="text1"/>
          <w:sz w:val="24"/>
          <w:szCs w:val="24"/>
        </w:rPr>
        <w:t>CPA 22.21 Dosky, fólie, hadice a profily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47168">
        <w:rPr>
          <w:rFonts w:ascii="Times New Roman" w:hAnsi="Times New Roman" w:cs="Times New Roman"/>
          <w:color w:val="000000" w:themeColor="text1"/>
          <w:sz w:val="24"/>
          <w:szCs w:val="24"/>
        </w:rPr>
        <w:t>plastov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76DE3BB" w14:textId="564CD143" w:rsidR="007B01A3" w:rsidRDefault="00832A30" w:rsidP="007B01A3">
      <w:pPr>
        <w:pStyle w:val="Odsekzoznamu"/>
        <w:numPr>
          <w:ilvl w:val="2"/>
          <w:numId w:val="4"/>
        </w:num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CPA 22.23 Stavebné výrobky z plastov.</w:t>
      </w:r>
      <w:r w:rsidR="007B01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41B8AC" w14:textId="5896705E" w:rsidR="00832A30" w:rsidRPr="00EA79F7" w:rsidRDefault="00832A30" w:rsidP="00832A30">
      <w:pPr>
        <w:pStyle w:val="Odsekzoznamu"/>
        <w:numPr>
          <w:ilvl w:val="1"/>
          <w:numId w:val="4"/>
        </w:num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Sklo:</w:t>
      </w:r>
    </w:p>
    <w:p w14:paraId="083BF78B" w14:textId="3E7DD308" w:rsidR="008C4135" w:rsidRDefault="008C4135" w:rsidP="008C4135">
      <w:pPr>
        <w:pStyle w:val="Odsekzoznamu"/>
        <w:numPr>
          <w:ilvl w:val="2"/>
          <w:numId w:val="4"/>
        </w:num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CPA 23.11 </w:t>
      </w:r>
      <w:r w:rsidRPr="008C4135">
        <w:rPr>
          <w:rFonts w:ascii="Times New Roman" w:hAnsi="Times New Roman" w:cs="Times New Roman"/>
          <w:color w:val="000000" w:themeColor="text1"/>
          <w:sz w:val="24"/>
          <w:szCs w:val="24"/>
        </w:rPr>
        <w:t>Ploché sklo</w:t>
      </w:r>
      <w:r w:rsidR="0064716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0C57DA1" w14:textId="678958F6" w:rsidR="00832A30" w:rsidRPr="00EA79F7" w:rsidRDefault="00832A30" w:rsidP="00832A30">
      <w:pPr>
        <w:pStyle w:val="Odsekzoznamu"/>
        <w:numPr>
          <w:ilvl w:val="2"/>
          <w:numId w:val="4"/>
        </w:num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CPA 23.19 Ostatné opracované sklo vrátane technického skla.</w:t>
      </w:r>
    </w:p>
    <w:p w14:paraId="63717934" w14:textId="77777777" w:rsidR="00832A30" w:rsidRPr="00EA79F7" w:rsidRDefault="00832A30" w:rsidP="00832A30">
      <w:pPr>
        <w:pStyle w:val="Odsekzoznamu"/>
        <w:numPr>
          <w:ilvl w:val="1"/>
          <w:numId w:val="4"/>
        </w:num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Betóny, cementy, sadry:</w:t>
      </w:r>
    </w:p>
    <w:p w14:paraId="406FB902" w14:textId="51DAEC18" w:rsidR="00647168" w:rsidRDefault="00647168" w:rsidP="00647168">
      <w:pPr>
        <w:pStyle w:val="Odsekzoznamu"/>
        <w:numPr>
          <w:ilvl w:val="2"/>
          <w:numId w:val="4"/>
        </w:num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168">
        <w:rPr>
          <w:rFonts w:ascii="Times New Roman" w:hAnsi="Times New Roman" w:cs="Times New Roman"/>
          <w:color w:val="000000" w:themeColor="text1"/>
          <w:sz w:val="24"/>
          <w:szCs w:val="24"/>
        </w:rPr>
        <w:t>CPA 23.51 Cement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6A04662" w14:textId="32A9E266" w:rsidR="00647168" w:rsidRDefault="00647168" w:rsidP="00647168">
      <w:pPr>
        <w:pStyle w:val="Odsekzoznamu"/>
        <w:numPr>
          <w:ilvl w:val="2"/>
          <w:numId w:val="4"/>
        </w:num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168">
        <w:rPr>
          <w:rFonts w:ascii="Times New Roman" w:hAnsi="Times New Roman" w:cs="Times New Roman"/>
          <w:color w:val="000000" w:themeColor="text1"/>
          <w:sz w:val="24"/>
          <w:szCs w:val="24"/>
        </w:rPr>
        <w:t>CPA 23.52 Vápno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47168">
        <w:rPr>
          <w:rFonts w:ascii="Times New Roman" w:hAnsi="Times New Roman" w:cs="Times New Roman"/>
          <w:color w:val="000000" w:themeColor="text1"/>
          <w:sz w:val="24"/>
          <w:szCs w:val="24"/>
        </w:rPr>
        <w:t>sadra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343B981" w14:textId="289E6CF1" w:rsidR="00832A30" w:rsidRPr="00EA79F7" w:rsidRDefault="00832A30" w:rsidP="00832A30">
      <w:pPr>
        <w:pStyle w:val="Odsekzoznamu"/>
        <w:numPr>
          <w:ilvl w:val="2"/>
          <w:numId w:val="4"/>
        </w:num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CPA 23.6 Výrobky z betónu, cementu a sadry</w:t>
      </w:r>
      <w:r w:rsidR="006471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C8BB156" w14:textId="70CEF6D8" w:rsidR="00832A30" w:rsidRPr="00EA79F7" w:rsidRDefault="00832A30" w:rsidP="00832A30">
      <w:pPr>
        <w:pStyle w:val="Odsekzoznamu"/>
        <w:numPr>
          <w:ilvl w:val="1"/>
          <w:numId w:val="4"/>
        </w:num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Železo/kovy:</w:t>
      </w:r>
    </w:p>
    <w:p w14:paraId="761F2A39" w14:textId="2B475C30" w:rsidR="00832A30" w:rsidRPr="00EA79F7" w:rsidRDefault="00832A30" w:rsidP="00832A30">
      <w:pPr>
        <w:pStyle w:val="Odsekzoznamu"/>
        <w:numPr>
          <w:ilvl w:val="2"/>
          <w:numId w:val="4"/>
        </w:num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CPA 24.10 Železo, oceľ a ferozliatiny, </w:t>
      </w:r>
    </w:p>
    <w:p w14:paraId="24A3C1D2" w14:textId="364B6F1E" w:rsidR="00832A30" w:rsidRPr="00EA79F7" w:rsidRDefault="00832A30" w:rsidP="00832A30">
      <w:pPr>
        <w:pStyle w:val="Odsekzoznamu"/>
        <w:numPr>
          <w:ilvl w:val="2"/>
          <w:numId w:val="4"/>
        </w:num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CPA 24.20 Rúry, rúrky, duté profily a príslušenstvo k nim z ocele, </w:t>
      </w:r>
    </w:p>
    <w:p w14:paraId="394F6B88" w14:textId="2388A7CE" w:rsidR="00832A30" w:rsidRPr="00EA79F7" w:rsidRDefault="00832A30" w:rsidP="00832A30">
      <w:pPr>
        <w:pStyle w:val="Odsekzoznamu"/>
        <w:numPr>
          <w:ilvl w:val="2"/>
          <w:numId w:val="4"/>
        </w:num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CPA 24.3 Ostatné výrobky prvotného spracovania ocele, </w:t>
      </w:r>
    </w:p>
    <w:p w14:paraId="36DD1CDE" w14:textId="55CCE51C" w:rsidR="00832A30" w:rsidRPr="00EA79F7" w:rsidRDefault="00832A30" w:rsidP="00832A30">
      <w:pPr>
        <w:pStyle w:val="Odsekzoznamu"/>
        <w:numPr>
          <w:ilvl w:val="2"/>
          <w:numId w:val="4"/>
        </w:num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CPA 24.42 Hliník, </w:t>
      </w:r>
    </w:p>
    <w:p w14:paraId="5BA95008" w14:textId="78F40B5C" w:rsidR="00832A30" w:rsidRPr="00EA79F7" w:rsidRDefault="00832A30" w:rsidP="00832A30">
      <w:pPr>
        <w:pStyle w:val="Odsekzoznamu"/>
        <w:numPr>
          <w:ilvl w:val="2"/>
          <w:numId w:val="4"/>
        </w:num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CPA 24.44 Meď, </w:t>
      </w:r>
    </w:p>
    <w:p w14:paraId="09702584" w14:textId="43131AAB" w:rsidR="00832A30" w:rsidRPr="00EA79F7" w:rsidRDefault="00832A30" w:rsidP="00832A30">
      <w:pPr>
        <w:pStyle w:val="Odsekzoznamu"/>
        <w:numPr>
          <w:ilvl w:val="2"/>
          <w:numId w:val="4"/>
        </w:num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CPA 25.11 Kovové konštrukcie a časti konštrukcií, </w:t>
      </w:r>
    </w:p>
    <w:p w14:paraId="7CE4F3FD" w14:textId="5A9A93C9" w:rsidR="00647168" w:rsidRDefault="00832A30" w:rsidP="001A3DC0">
      <w:pPr>
        <w:pStyle w:val="Odsekzoznamu"/>
        <w:numPr>
          <w:ilvl w:val="2"/>
          <w:numId w:val="4"/>
        </w:numPr>
        <w:spacing w:before="160" w:after="0" w:line="240" w:lineRule="auto"/>
        <w:ind w:hanging="18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CPA 25.93 Drôtené výrobky, reťaze a pružiny</w:t>
      </w:r>
      <w:r w:rsidR="0064716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2BAA4B8" w14:textId="77777777" w:rsidR="00647168" w:rsidRDefault="00647168" w:rsidP="001A3DC0">
      <w:pPr>
        <w:pStyle w:val="Odsekzoznamu"/>
        <w:numPr>
          <w:ilvl w:val="2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168">
        <w:rPr>
          <w:rFonts w:ascii="Times New Roman" w:hAnsi="Times New Roman" w:cs="Times New Roman"/>
          <w:color w:val="000000" w:themeColor="text1"/>
          <w:sz w:val="24"/>
          <w:szCs w:val="24"/>
        </w:rPr>
        <w:t>CPA 26.11 Výroba elektronických komponentov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D084381" w14:textId="64CD0BF0" w:rsidR="00832A30" w:rsidRPr="00EA79F7" w:rsidRDefault="00647168" w:rsidP="001A3DC0">
      <w:pPr>
        <w:pStyle w:val="Odsekzoznamu"/>
        <w:numPr>
          <w:ilvl w:val="2"/>
          <w:numId w:val="4"/>
        </w:numPr>
        <w:spacing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CPA 27.3 </w:t>
      </w:r>
      <w:r w:rsidRPr="00647168">
        <w:rPr>
          <w:rFonts w:ascii="Times New Roman" w:hAnsi="Times New Roman" w:cs="Times New Roman"/>
          <w:color w:val="000000" w:themeColor="text1"/>
          <w:sz w:val="24"/>
          <w:szCs w:val="24"/>
        </w:rPr>
        <w:t>Výroba drôtov a elektroinštalačných zariadení</w:t>
      </w:r>
      <w:r w:rsidR="004F69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694C80" w14:textId="089C5E6F" w:rsidR="00262ED2" w:rsidRPr="00EA79F7" w:rsidRDefault="0057118B" w:rsidP="00832A30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2ED2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Hodnoty v EUR vyjadrení za mernú jednotku </w:t>
      </w:r>
      <w:r w:rsidR="009F203F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(jednotkové ceny)</w:t>
      </w:r>
      <w:r w:rsidR="00847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vybraných</w:t>
      </w:r>
      <w:r w:rsidR="009F203F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2ED2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stavebných materiálov (označené ako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262ED2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“) </w:t>
      </w:r>
      <w:r w:rsidR="009F203F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odporúčame </w:t>
      </w:r>
      <w:r w:rsidR="00262ED2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pre referenčné</w:t>
      </w:r>
      <w:r w:rsidR="001C4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2ED2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obdobie stanoviť nasledovnými spôsobmi:</w:t>
      </w:r>
    </w:p>
    <w:p w14:paraId="3F433780" w14:textId="685A6978" w:rsidR="009F203F" w:rsidRPr="00352356" w:rsidRDefault="009F203F" w:rsidP="009F203F">
      <w:pPr>
        <w:pStyle w:val="Odsekzoznamu"/>
        <w:numPr>
          <w:ilvl w:val="0"/>
          <w:numId w:val="10"/>
        </w:numPr>
        <w:spacing w:before="160" w:line="240" w:lineRule="auto"/>
        <w:ind w:left="851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>Jednotkové ceny</w:t>
      </w:r>
      <w:r w:rsidR="00847D53"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vybraných </w:t>
      </w:r>
      <w:r w:rsidR="005A7DF0"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>stavebných materiálov (označené ako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5A7DF0"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“) </w:t>
      </w:r>
      <w:r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847D53"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referenčné obdobie </w:t>
      </w:r>
      <w:r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možné stanoviť </w:t>
      </w:r>
      <w:r w:rsidR="00B40630"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(určiť, posúdiť) </w:t>
      </w:r>
      <w:r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>na základe znaleckého posudku. Znalecký posudok bude obsahovať</w:t>
      </w:r>
      <w:r w:rsidR="005B5838"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>jednotkové ceny pre jednotlivé materiály</w:t>
      </w:r>
      <w:r w:rsidR="002E2DBE"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2E2DBE"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  <w:r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r w:rsidR="00847D53"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>kvartál</w:t>
      </w:r>
      <w:r w:rsidR="00B56DF6"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B56DF6"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r w:rsidR="00847D53"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tým stanoví základňu ku ktorej budú vypočítané nárasty medzi </w:t>
      </w:r>
      <w:r w:rsidR="00847D53"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>kvartálmi</w:t>
      </w:r>
      <w:r w:rsidR="00B56DF6"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B56DF6"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>“ a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="00B56DF6"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0909"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Znalecký posudok dáva vypracovávať </w:t>
      </w:r>
      <w:r w:rsidR="00422264"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verejný </w:t>
      </w:r>
      <w:r w:rsidR="00F20909"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>obstarávateľ</w:t>
      </w:r>
      <w:r w:rsidR="00422264"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>, obstarávateľ alebo zhotoviteľ</w:t>
      </w:r>
      <w:r w:rsidR="00F20909"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6E5C02" w14:textId="4E3ECD83" w:rsidR="005A7DF0" w:rsidRPr="00EC703F" w:rsidRDefault="005A7DF0" w:rsidP="00F92367">
      <w:pPr>
        <w:pStyle w:val="Odsekzoznamu"/>
        <w:numPr>
          <w:ilvl w:val="0"/>
          <w:numId w:val="10"/>
        </w:numPr>
        <w:spacing w:before="160" w:line="240" w:lineRule="auto"/>
        <w:ind w:left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Jednotkové ceny pre vybrané stavebné materiály </w:t>
      </w:r>
      <w:r w:rsidR="00B56DF6"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t>(„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B56DF6"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“) </w:t>
      </w:r>
      <w:r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možné v prípade dostupných relevantných údajov vypočítať </w:t>
      </w:r>
      <w:r w:rsidR="00141756"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t>alebo</w:t>
      </w:r>
      <w:r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stanoviť z projektovej dokumentácie</w:t>
      </w:r>
      <w:r w:rsidR="00FA0605"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t>z predloženej ponuky vo verejnom obstarávaní</w:t>
      </w:r>
      <w:r w:rsidR="00FA0605"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2367" w:rsidRPr="00F92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(rozbor položky </w:t>
      </w:r>
      <w:r w:rsidR="001A550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92367" w:rsidRPr="00F92367">
        <w:rPr>
          <w:rFonts w:ascii="Times New Roman" w:hAnsi="Times New Roman" w:cs="Times New Roman"/>
          <w:color w:val="000000" w:themeColor="text1"/>
          <w:sz w:val="24"/>
          <w:szCs w:val="24"/>
        </w:rPr>
        <w:t>alebo kalkulačný vzorec)</w:t>
      </w:r>
      <w:r w:rsidR="00F92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0605"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t>alebo z dokumentov (napríklad výkaz výmer, dokumentácia na realizáciu stavby</w:t>
      </w:r>
      <w:r w:rsidR="00BF4CD2"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vrátane jej zmien a úprav</w:t>
      </w:r>
      <w:r w:rsidR="00FA0605"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t>) uvedených v zmluve</w:t>
      </w:r>
      <w:r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C345A0" w14:textId="20B6B61C" w:rsidR="001A1B47" w:rsidRPr="009C3D8E" w:rsidRDefault="00EC703F" w:rsidP="009C3D8E">
      <w:pPr>
        <w:pStyle w:val="Odsekzoznamu"/>
        <w:numPr>
          <w:ilvl w:val="0"/>
          <w:numId w:val="10"/>
        </w:numPr>
        <w:spacing w:before="160" w:line="240" w:lineRule="auto"/>
        <w:ind w:left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t>Jednotkové ceny vybraných stavebných materiálov („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“) v rámci stanovených CPA kódov v prípade dostupných relevantných údajov je prípustné stanoviť z predložených faktúr za jednotlivé materiály vymedzené podstatnými dodacími a kvalitatívnymi podmienkami platnosti ceny. Zásadne je nutné zabudovanie týchto materiálov </w:t>
      </w:r>
      <w:r w:rsidR="001A550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t>na stavbe podľa platnej DRS. Použije sa len konkrétna faktúra dodávateľa materiálu zhotoviteľovi, ktorá je časovo najbližšia k</w:t>
      </w:r>
      <w:r w:rsidR="00DB3881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dňu ukončenia lehoty predkladania ponúk do súťaže na zhotovenie </w:t>
      </w:r>
      <w:r w:rsidR="00F92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predmetnej </w:t>
      </w:r>
      <w:r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stavby, a ktorá obsahuje jednotkovú cenu </w:t>
      </w:r>
      <w:r w:rsidR="001A550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 materiál. Uvedená jednotková cena sa preindexuje spätne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prevedie</w:t>
      </w:r>
      <w:r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do obdobia </w:t>
      </w:r>
      <w:r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9C3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použitím indexov</w:t>
      </w:r>
      <w:r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t>. Jednotková cena daného materiálu („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“) v čase </w:t>
      </w:r>
      <w:r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550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vypočíta </w:t>
      </w:r>
      <w:r w:rsidR="009C3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ako podiel </w:t>
      </w:r>
      <w:r w:rsidR="009C3D8E" w:rsidRPr="009C3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hodnoty indexu daného materiálu </w:t>
      </w:r>
      <w:r w:rsidR="009C3D8E"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t>(„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9C3D8E"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  <w:r w:rsidR="009C3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kvartáli prislúchajúcemu </w:t>
      </w:r>
      <w:r w:rsidR="009C3D8E" w:rsidRPr="009C3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dňu vystavenia faktúry a hodnoty indexu daného materiálu </w:t>
      </w:r>
      <w:r w:rsidR="009C3D8E"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t>(„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9C3D8E"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  <w:r w:rsidR="009C3D8E" w:rsidRPr="009C3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550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C3D8E" w:rsidRPr="009C3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čase </w:t>
      </w:r>
      <w:r w:rsidR="009C3D8E"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9C3D8E"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9C3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výsledok tohto výpočtu je následne použitý na predelenie</w:t>
      </w:r>
      <w:r w:rsidR="009C3D8E" w:rsidRPr="009C3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D8E"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t>jednotkovej ceny daného materiálu („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9C3D8E"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t>“) uvedenej vo faktúre</w:t>
      </w:r>
      <w:r w:rsidR="009C3D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14CA16" w14:textId="56AAB4AC" w:rsidR="00262ED2" w:rsidRPr="00EA79F7" w:rsidRDefault="00D7410C" w:rsidP="00153D88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výpočtu mechanizmu </w:t>
      </w:r>
      <w:r w:rsidR="00646DC6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navýšenia</w:t>
      </w: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vstupujú </w:t>
      </w:r>
      <w:r w:rsidR="00B56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mesačné </w:t>
      </w: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údaje ŠÚ SR</w:t>
      </w:r>
      <w:r w:rsidR="00B56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ukazovateľa</w:t>
      </w: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="00B56DF6" w:rsidRPr="00F00C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Výrobné ceny vybraných materiálov používaných v stavebníctve podľa členenia CPA: index december 2005=100 [sp1823ms]</w:t>
      </w: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ktoré sú dostupné na </w:t>
      </w:r>
      <w:r w:rsidR="009C3D8E">
        <w:rPr>
          <w:rFonts w:ascii="Times New Roman" w:hAnsi="Times New Roman" w:cs="Times New Roman"/>
          <w:color w:val="000000" w:themeColor="text1"/>
          <w:sz w:val="24"/>
          <w:szCs w:val="24"/>
        </w:rPr>
        <w:t>webovej stránke</w:t>
      </w: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ŠÚ SR</w:t>
      </w:r>
      <w:r w:rsidR="00B56DF6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</w:rPr>
        <w:footnoteReference w:id="6"/>
      </w: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56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Vykazované mesačné údaje </w:t>
      </w:r>
      <w:r w:rsidR="00B56DF6" w:rsidRPr="00B56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potrebné previesť na obdobie kvartál pre </w:t>
      </w:r>
      <w:r w:rsidR="00F00CA1"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F00CA1" w:rsidRPr="00352356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F00CA1" w:rsidRPr="00EC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6DF6" w:rsidRPr="00B56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F00CA1" w:rsidRPr="00B56DF6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F00CA1" w:rsidRPr="00B56DF6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B56DF6" w:rsidRPr="00B56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tak, že sa vypočíta aritmetický priemer vykazovaných hodnôt za 3 relevantné mesiace prislúchajúce k obdobiu </w:t>
      </w:r>
      <w:r w:rsidR="003C58CB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3C58CB">
        <w:rPr>
          <w:rFonts w:ascii="Times New Roman" w:eastAsiaTheme="minorEastAsia" w:hAnsi="Times New Roman" w:cs="Times New Roman"/>
          <w:sz w:val="24"/>
          <w:szCs w:val="24"/>
        </w:rPr>
        <w:t>“</w:t>
      </w:r>
      <w:r w:rsidR="00B56DF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56DF6" w:rsidRPr="00B56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3C58CB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3C58CB">
        <w:rPr>
          <w:rFonts w:ascii="Times New Roman" w:eastAsiaTheme="minorEastAsia" w:hAnsi="Times New Roman" w:cs="Times New Roman"/>
          <w:sz w:val="24"/>
          <w:szCs w:val="24"/>
        </w:rPr>
        <w:t>“</w:t>
      </w:r>
      <w:r w:rsidR="00B56DF6" w:rsidRPr="00B56DF6">
        <w:rPr>
          <w:rFonts w:ascii="Times New Roman" w:hAnsi="Times New Roman" w:cs="Times New Roman"/>
          <w:color w:val="000000" w:themeColor="text1"/>
          <w:sz w:val="24"/>
          <w:szCs w:val="24"/>
        </w:rPr>
        <w:t>. Vypočítané aritmetické priemery sa matematicky zaokrúhľujú na 3 desatinné miesta</w:t>
      </w:r>
      <w:r w:rsidR="00153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C48F71" w14:textId="293DE39C" w:rsidR="00065CDC" w:rsidRPr="00EA79F7" w:rsidRDefault="00D7410C" w:rsidP="0045125E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Výslednú hodnotu navýšenia </w:t>
      </w:r>
      <w:r w:rsidR="0015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medzi obdobiami </w:t>
      </w:r>
      <w:r w:rsidR="00153D88" w:rsidRPr="00F7466B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153D88" w:rsidRPr="00F7466B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15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153D88" w:rsidRPr="00F7466B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153D88" w:rsidRPr="00F7466B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15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podľa mechanizmu </w:t>
      </w:r>
      <w:r w:rsidR="00646DC6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navýšenia</w:t>
      </w:r>
      <w:r w:rsidR="0015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možné vypočítať ako súčet navýšení za </w:t>
      </w:r>
      <w:r w:rsidR="00153D88">
        <w:rPr>
          <w:rFonts w:ascii="Times New Roman" w:hAnsi="Times New Roman" w:cs="Times New Roman"/>
          <w:color w:val="000000" w:themeColor="text1"/>
          <w:sz w:val="24"/>
          <w:szCs w:val="24"/>
        </w:rPr>
        <w:t>vybrané stavebné materiály (</w:t>
      </w: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označené </w:t>
      </w:r>
      <w:r w:rsidR="001A550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ako </w:t>
      </w:r>
      <w:r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53D88">
        <w:rPr>
          <w:rFonts w:ascii="Times New Roman" w:hAnsi="Times New Roman" w:cs="Times New Roman"/>
          <w:color w:val="000000" w:themeColor="text1"/>
          <w:sz w:val="24"/>
          <w:szCs w:val="24"/>
        </w:rPr>
        <w:t>. Výpočet navýšenia pre vybrané stavebné materiály (</w:t>
      </w:r>
      <w:r w:rsidR="00153D88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153D88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153D88">
        <w:rPr>
          <w:rFonts w:ascii="Times New Roman" w:hAnsi="Times New Roman" w:cs="Times New Roman"/>
          <w:color w:val="000000" w:themeColor="text1"/>
          <w:sz w:val="24"/>
          <w:szCs w:val="24"/>
        </w:rPr>
        <w:t>) je nasledovný</w:t>
      </w:r>
      <w:r w:rsidR="00065CDC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F4F3E2" w14:textId="06D49CCC" w:rsidR="00DD4E9D" w:rsidRPr="003C58CB" w:rsidRDefault="003C58CB" w:rsidP="00B776A2">
      <w:pPr>
        <w:pStyle w:val="Odsekzoznamu"/>
        <w:spacing w:before="160" w:line="240" w:lineRule="auto"/>
        <w:ind w:left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58C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065CDC" w:rsidRPr="003C58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ýsledná hodnota násobiteľa úpravy </w:t>
      </w:r>
      <w:r w:rsidR="0036510E" w:rsidRPr="003C58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za mernú jednotku </w:t>
      </w:r>
      <w:r w:rsidR="00065CDC" w:rsidRPr="003C58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(koeficient zmeny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sub>
        </m:sSub>
      </m:oMath>
      <w:r w:rsidR="00065CDC" w:rsidRPr="003C58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“ ) </w:t>
      </w:r>
      <w:r w:rsidR="001A550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="00065CDC" w:rsidRPr="003C58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je vypočítaná ako </w:t>
      </w:r>
      <w:r w:rsidR="00CB375F" w:rsidRPr="003C58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podiel </w:t>
      </w:r>
      <w:r w:rsidRPr="003C58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hodnoty indexu za kvartál a vybraný stavebný materiál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Pr="003C58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“ </w:t>
      </w:r>
      <w:r w:rsidR="00CB375F" w:rsidRPr="003C58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v</w:t>
      </w:r>
      <w:r w:rsidRPr="003C58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čase</w:t>
      </w:r>
      <w:r w:rsidR="00CB375F" w:rsidRPr="003C58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3C58CB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Pr="003C5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r w:rsidR="00CB375F" w:rsidRPr="003C58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</w:t>
      </w:r>
      <w:r w:rsidRPr="003C58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hodnoty</w:t>
      </w:r>
      <w:r w:rsidR="00CB375F" w:rsidRPr="003C58C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C58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indexu za kvartál a vybraný stavebný materiál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Pr="003C58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“ v čase </w:t>
      </w:r>
      <w:r w:rsidRPr="003C58CB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Pr="003C58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24E9942D" w14:textId="4CE2C2AD" w:rsidR="00DD4E9D" w:rsidRPr="00525A63" w:rsidRDefault="00CB375F" w:rsidP="00DD4E9D">
      <w:pPr>
        <w:pStyle w:val="Odsekzoznamu"/>
        <w:spacing w:before="160" w:line="240" w:lineRule="auto"/>
        <w:ind w:left="851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525A6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Od vypočítaného podielu sa odpočíta </w:t>
      </w:r>
      <w:r w:rsidR="00525A63" w:rsidRPr="00525A6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priemerné medziročné tempo rastu hodnoty </w:t>
      </w:r>
      <w:r w:rsidR="00A77BB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kvartálnych</w:t>
      </w:r>
      <w:r w:rsidR="00525A6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525A63" w:rsidRPr="00525A6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indexov vybraného stavebného materiálu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525A63" w:rsidRPr="00525A6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“ v čase </w:t>
      </w:r>
      <w:r w:rsidR="00525A63" w:rsidRPr="00525A63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riziko</m:t>
            </m:r>
          </m:sub>
        </m:sSub>
      </m:oMath>
      <w:r w:rsidR="00525A63" w:rsidRPr="00525A6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79376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5F5B4CE4" w14:textId="2D0C1F10" w:rsidR="00065CDC" w:rsidRPr="0045125E" w:rsidRDefault="00CB375F" w:rsidP="00DD4E9D">
      <w:pPr>
        <w:pStyle w:val="Odsekzoznamu"/>
        <w:spacing w:before="160" w:line="240" w:lineRule="auto"/>
        <w:ind w:left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2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Navýšenie za </w:t>
      </w:r>
      <w:r w:rsidR="005F783A" w:rsidRPr="004512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vybraný stavebný materiál </w:t>
      </w:r>
      <w:r w:rsidRPr="004512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Pr="004512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 (t.j.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Navýšenie 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sub>
        </m:sSub>
      </m:oMath>
      <w:r w:rsidRPr="004512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“) je vypočítan</w:t>
      </w:r>
      <w:r w:rsidR="00A92635" w:rsidRPr="004512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é</w:t>
      </w:r>
      <w:r w:rsidRPr="004512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ako </w:t>
      </w:r>
      <w:r w:rsidR="00A92635" w:rsidRPr="004512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násobok </w:t>
      </w:r>
      <w:r w:rsidR="005F783A" w:rsidRPr="004512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násobiteľa úpravy (koeficientu zmeny)</w:t>
      </w:r>
      <w:r w:rsidR="00A92635" w:rsidRPr="004512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sub>
        </m:sSub>
      </m:oMath>
      <w:r w:rsidR="00A92635" w:rsidRPr="004512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 a </w:t>
      </w:r>
      <w:r w:rsidR="00A92635" w:rsidRPr="00451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jednotkovej ceny </w:t>
      </w:r>
      <w:r w:rsidR="005F783A" w:rsidRPr="00451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vybraného stavebného materiálu </w:t>
      </w:r>
      <w:r w:rsidR="00A92635" w:rsidRPr="0045125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A92635" w:rsidRPr="0045125E">
        <w:rPr>
          <w:rFonts w:ascii="Times New Roman" w:hAnsi="Times New Roman" w:cs="Times New Roman"/>
          <w:color w:val="000000" w:themeColor="text1"/>
          <w:sz w:val="24"/>
          <w:szCs w:val="24"/>
        </w:rPr>
        <w:t>“ (t.</w:t>
      </w:r>
      <w:r w:rsidR="00F6112E" w:rsidRPr="00451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635" w:rsidRPr="00451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j.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JC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sub>
        </m:sSub>
      </m:oMath>
      <w:r w:rsidR="00A92635" w:rsidRPr="004512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="00F6112E" w:rsidRPr="004512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v čase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F6112E" w:rsidRPr="004512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A92635" w:rsidRPr="004512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od ktorého je následne odpočítaná </w:t>
      </w:r>
      <w:r w:rsidR="00F6112E" w:rsidRPr="004512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jednotková cena </w:t>
      </w:r>
      <w:r w:rsidR="00F6112E" w:rsidRPr="0045125E">
        <w:rPr>
          <w:rFonts w:ascii="Times New Roman" w:hAnsi="Times New Roman" w:cs="Times New Roman"/>
          <w:color w:val="000000" w:themeColor="text1"/>
          <w:sz w:val="24"/>
          <w:szCs w:val="24"/>
        </w:rPr>
        <w:t>vybraného stavebného materiálu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F6112E" w:rsidRPr="00451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(t. j.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JC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sub>
        </m:sSub>
      </m:oMath>
      <w:r w:rsidR="00F6112E" w:rsidRPr="004512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 v čase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F6112E" w:rsidRPr="004512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“ </w:t>
      </w:r>
      <w:r w:rsidR="00A92635" w:rsidRPr="004512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 výsledok je vynásobený </w:t>
      </w:r>
      <w:r w:rsidR="00A92635" w:rsidRPr="00451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realizovaným množstvom </w:t>
      </w:r>
      <w:r w:rsidR="00F6112E" w:rsidRPr="004512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materiálu </w:t>
      </w:r>
      <w:r w:rsidR="00A92635" w:rsidRPr="004512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A92635" w:rsidRPr="004512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 v</w:t>
      </w:r>
      <w:r w:rsidR="00F6112E" w:rsidRPr="004512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 čase </w:t>
      </w:r>
      <w:r w:rsidR="00F6112E" w:rsidRPr="0045125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="00F6112E" w:rsidRPr="004512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“.</w:t>
      </w:r>
    </w:p>
    <w:p w14:paraId="7E297D25" w14:textId="2C02D9B6" w:rsidR="003304F9" w:rsidRPr="0045125E" w:rsidRDefault="000C5F51" w:rsidP="005924EA">
      <w:pPr>
        <w:pStyle w:val="Odsekzoznamu"/>
        <w:spacing w:before="160" w:line="240" w:lineRule="auto"/>
        <w:ind w:left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2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Celkové navýšenie za všetky počítané vybrané stavebné materiály </w:t>
      </w:r>
      <w:r w:rsidRPr="0045125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Pr="00451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r w:rsidR="001A550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51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(t. j. 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Navýšenie </m:t>
        </m:r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P</m:t>
        </m:r>
      </m:oMath>
      <w:r w:rsidRPr="004512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je vypočítané ako súčet jednotlivých hodnôt navýšení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Navýšenie 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sub>
        </m:sSub>
      </m:oMath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.</w:t>
      </w:r>
    </w:p>
    <w:p w14:paraId="05FEA362" w14:textId="5D4E31F0" w:rsidR="00EA4908" w:rsidRPr="00EA79F7" w:rsidRDefault="0057118B" w:rsidP="005924EA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4908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prípade, že násobiteľ úpravy (koeficient zmeny) pre </w:t>
      </w:r>
      <w:r w:rsidR="000C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vybraný stavebný materiál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sub>
        </m:sSub>
      </m:oMath>
      <w:r w:rsidR="000C5F5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A4908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dosahuje hodnoty nižšie ako </w:t>
      </w:r>
      <w:r w:rsidR="000C5F5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číslo </w:t>
      </w:r>
      <w:r w:rsidR="00EA4908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1, použije sa vo výpočte hodnota pre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sub>
        </m:sSub>
      </m:oMath>
      <w:r w:rsidR="00EA4908" w:rsidRPr="00EA79F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A4908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rovná číslu 1.</w:t>
      </w:r>
    </w:p>
    <w:p w14:paraId="0A43585F" w14:textId="3299F8F8" w:rsidR="005924EA" w:rsidRPr="00EA79F7" w:rsidRDefault="00793767" w:rsidP="00793767">
      <w:pPr>
        <w:pStyle w:val="Odsekzoznamu"/>
        <w:numPr>
          <w:ilvl w:val="0"/>
          <w:numId w:val="4"/>
        </w:numPr>
        <w:spacing w:before="160" w:line="240" w:lineRule="auto"/>
        <w:ind w:left="0" w:firstLine="284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="005924EA" w:rsidRPr="00EA79F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Výsledný súhrnný nárok zhotoviteľa </w:t>
      </w:r>
      <w:r w:rsidR="00646DC6" w:rsidRPr="00EA79F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a</w:t>
      </w:r>
      <w:r w:rsidR="000C5F5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 súhrnné </w:t>
      </w:r>
      <w:r w:rsidR="00646DC6" w:rsidRPr="00EA79F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navýšenie </w:t>
      </w:r>
      <w:r w:rsidR="005924EA" w:rsidRPr="00EA79F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má hodnotu:</w:t>
      </w:r>
    </w:p>
    <w:p w14:paraId="43C8F5C8" w14:textId="77777777" w:rsidR="005924EA" w:rsidRPr="00EA79F7" w:rsidRDefault="005924EA" w:rsidP="005924EA">
      <w:pPr>
        <w:pStyle w:val="Odsekzoznamu"/>
        <w:numPr>
          <w:ilvl w:val="0"/>
          <w:numId w:val="13"/>
        </w:numPr>
        <w:spacing w:before="160" w:line="24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</w:pPr>
      <w:r w:rsidRPr="00EA79F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V prípade, ak zmluva o realizácii diela už obsahuje </w:t>
      </w:r>
      <w:proofErr w:type="spellStart"/>
      <w:r w:rsidRPr="00EA79F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indexačnú</w:t>
      </w:r>
      <w:proofErr w:type="spellEnd"/>
      <w:r w:rsidRPr="00EA79F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 časť (valorizáciu), výsledná hodnota navýšenia bude vypočítaná podľa tohto metodického pokynu a následne znížená o hodnotu indexácie (valorizácie) vyplývajúcu zo zmluvy o realizácii diela. </w:t>
      </w:r>
    </w:p>
    <w:p w14:paraId="6BA87917" w14:textId="06CCBB82" w:rsidR="005924EA" w:rsidRPr="00EA79F7" w:rsidRDefault="005924EA" w:rsidP="005924EA">
      <w:pPr>
        <w:pStyle w:val="Odsekzoznamu"/>
        <w:numPr>
          <w:ilvl w:val="0"/>
          <w:numId w:val="13"/>
        </w:numPr>
        <w:spacing w:before="160" w:line="24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</w:pPr>
      <w:r w:rsidRPr="00EA79F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V prípade, ak zmluva o realizácii diela neobsahuje </w:t>
      </w:r>
      <w:proofErr w:type="spellStart"/>
      <w:r w:rsidRPr="00EA79F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indexačnú</w:t>
      </w:r>
      <w:proofErr w:type="spellEnd"/>
      <w:r w:rsidRPr="00EA79F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 časť (valorizáciu), výsledná hodnota navýšenia je vypočítaná </w:t>
      </w:r>
      <w:r w:rsidR="0051122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na základe nárastu cien stavebných materiálov </w:t>
      </w:r>
      <w:r w:rsidRPr="00EA79F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podľa tohto metodického pokynu.</w:t>
      </w:r>
    </w:p>
    <w:p w14:paraId="00F09DF1" w14:textId="496C6DF6" w:rsidR="003304F9" w:rsidRPr="00EA79F7" w:rsidRDefault="00793767" w:rsidP="00F12B27">
      <w:pPr>
        <w:pStyle w:val="Odsekzoznamu"/>
        <w:numPr>
          <w:ilvl w:val="0"/>
          <w:numId w:val="4"/>
        </w:numPr>
        <w:spacing w:before="160" w:line="240" w:lineRule="auto"/>
        <w:ind w:left="0" w:firstLine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04F9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Vzorec pre výpočet indexácie </w:t>
      </w:r>
      <w:r w:rsidR="00F437B1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a </w:t>
      </w:r>
      <w:r w:rsidR="0067423C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násobiteľov</w:t>
      </w:r>
      <w:r w:rsidR="00F437B1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úpravy </w:t>
      </w:r>
      <w:r w:rsidR="003304F9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je nasledovný:</w:t>
      </w:r>
    </w:p>
    <w:p w14:paraId="5BFBEB28" w14:textId="17B4B429" w:rsidR="00753C8E" w:rsidRPr="0045125E" w:rsidRDefault="00753C8E" w:rsidP="0045125E">
      <w:p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F1ACB9" w14:textId="0E8B6BDF" w:rsidR="00101795" w:rsidRPr="00EA79F7" w:rsidRDefault="009D0DE9" w:rsidP="00126D40">
      <w:pPr>
        <w:spacing w:before="16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m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Material 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Material 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sub>
                  </m:sSub>
                </m:den>
              </m:f>
            </m:e>
          </m:d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TR priem 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riziko</m:t>
                  </m:r>
                </m:sub>
              </m:sSub>
            </m:sub>
          </m:sSub>
        </m:oMath>
      </m:oMathPara>
    </w:p>
    <w:p w14:paraId="6600FA6A" w14:textId="07E1DF85" w:rsidR="00204D21" w:rsidRPr="00EA79F7" w:rsidRDefault="009D0DE9" w:rsidP="00126D40">
      <w:pPr>
        <w:spacing w:before="16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Navýšenie 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m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(P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m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JC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 xml:space="preserve"> m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)-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JC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m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*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Množstvo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m</m:t>
              </m:r>
            </m:sub>
          </m:sSub>
        </m:oMath>
      </m:oMathPara>
    </w:p>
    <w:p w14:paraId="1ADE0A2A" w14:textId="7F489CB2" w:rsidR="00843C79" w:rsidRPr="00EA79F7" w:rsidRDefault="0050417A" w:rsidP="00126D40">
      <w:pPr>
        <w:spacing w:before="16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Navýšenie P=</m:t>
        </m:r>
      </m:oMath>
      <w:r w:rsidR="0076508A" w:rsidRPr="00EA79F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súčet </w:t>
      </w:r>
      <w:r w:rsidRPr="00EA79F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navýšených hodnôt</w:t>
      </w:r>
      <w:r w:rsidR="0076508A" w:rsidRPr="00EA79F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za </w:t>
      </w:r>
      <w:r w:rsidR="0054206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jednotlivé </w:t>
      </w:r>
      <w:r w:rsidR="0060600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materiály</w:t>
      </w:r>
    </w:p>
    <w:p w14:paraId="3245FF7F" w14:textId="77777777" w:rsidR="00843C79" w:rsidRPr="00EA79F7" w:rsidRDefault="00843C79" w:rsidP="003304F9">
      <w:pPr>
        <w:spacing w:before="16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587C1DEB" w14:textId="21361164" w:rsidR="00734F5E" w:rsidRPr="00EA79F7" w:rsidRDefault="00734F5E" w:rsidP="003304F9">
      <w:pPr>
        <w:spacing w:before="16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Kde:</w:t>
      </w:r>
    </w:p>
    <w:p w14:paraId="2C94A753" w14:textId="25ADDBA7" w:rsidR="00101795" w:rsidRPr="00EA79F7" w:rsidRDefault="009D0DE9" w:rsidP="00E84E97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sub>
        </m:sSub>
      </m:oMath>
      <w:r w:rsidR="00101795" w:rsidRPr="00EA79F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01795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</w:t>
      </w:r>
      <w:r w:rsidR="00101795" w:rsidRPr="00EA79F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26942" w:rsidRPr="00EA79F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ab/>
      </w:r>
      <w:r w:rsidR="00101795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násobiteľ úpravy (koeficient zmeny), ktorý bude použitý pre </w:t>
      </w:r>
      <w:r w:rsidR="007D26EC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výpočet navýšenia za jednotkovú cenu </w:t>
      </w:r>
      <w:r w:rsidR="0054206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za stavebný materiál </w:t>
      </w:r>
      <w:r w:rsidR="00753C8E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753C8E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822D33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54206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medzi obdobiami </w:t>
      </w:r>
      <w:r w:rsidR="00542064" w:rsidRPr="00F7466B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542064" w:rsidRPr="00F7466B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542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542064" w:rsidRPr="00F7466B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542064" w:rsidRPr="00F7466B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822D33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101795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Hodnota násobiteľa úpravy sa zaokrúhľuje </w:t>
      </w:r>
      <w:r w:rsidR="00D20D43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matematicky </w:t>
      </w:r>
      <w:r w:rsidR="00101795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na 3 desatinné </w:t>
      </w:r>
      <w:r w:rsidR="00D54E92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miesta</w:t>
      </w:r>
      <w:r w:rsidR="00101795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 w:rsidR="00EA4908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V prípade, ak je vypočítaná hodnota nižšia ako číslo 1, použije sa vo výpočte číslo 1.</w:t>
      </w:r>
    </w:p>
    <w:p w14:paraId="61E4860E" w14:textId="0CF6171C" w:rsidR="00822D33" w:rsidRPr="00EA79F7" w:rsidRDefault="00822D33" w:rsidP="00E84E97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m </m:t>
        </m:r>
      </m:oMath>
      <w:r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: </w:t>
      </w:r>
      <w:r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konkrétny </w:t>
      </w:r>
      <w:r w:rsidR="0054206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vybraný stavebný materiál v prislúchajúcej kotve </w:t>
      </w:r>
      <w:r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podľa Článku 2, ods</w:t>
      </w:r>
      <w:r w:rsidR="004512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54206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</w:t>
      </w:r>
      <w:r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52D4C0AC" w14:textId="1CE475D6" w:rsidR="00822D33" w:rsidRPr="00EA79F7" w:rsidRDefault="00065CDC" w:rsidP="00E84E97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Material</m:t>
        </m:r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 xml:space="preserve"> m</m:t>
        </m:r>
      </m:oMath>
      <w:r w:rsidR="00822D33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: </w:t>
      </w:r>
      <w:r w:rsidR="00822D33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hodnota </w:t>
      </w:r>
      <w:r w:rsidR="0054206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indexu za kvartál a vybraný stavebný materiál </w:t>
      </w:r>
      <w:r w:rsidR="00C91268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C91268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“. Hodnota je vypočítaná ako </w:t>
      </w:r>
      <w:r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aritmetický priemer</w:t>
      </w:r>
      <w:r w:rsidR="00C91268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54206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 mesačných hodnôt podľa Článku 2, ods. (7)</w:t>
      </w:r>
      <w:r w:rsidR="00C91268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Indexy vstupujúce do výpočtu majú povahu indexov </w:t>
      </w:r>
      <w:r w:rsidR="007D26EC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december </w:t>
      </w:r>
      <w:r w:rsidR="00C91268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20</w:t>
      </w:r>
      <w:r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05</w:t>
      </w:r>
      <w:r w:rsidR="00C91268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=100.</w:t>
      </w:r>
    </w:p>
    <w:p w14:paraId="6FF8A2E9" w14:textId="2B720248" w:rsidR="00753C8E" w:rsidRPr="00EA79F7" w:rsidRDefault="00753C8E" w:rsidP="00E84E97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: </w:t>
      </w:r>
      <w:r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D4067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kvartál realizácie, rozhodujúci kvartál</w:t>
      </w:r>
      <w:r w:rsidR="00D40677" w:rsidRPr="00D4067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w:r w:rsidR="00D4067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kvartál </w:t>
      </w:r>
      <w:r w:rsidR="00D40677" w:rsidRPr="00D4067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v ktorom prebiehala realizácia stavby a za ktorý si zhotoviteľ stavby uplatňuje mechanizmus úpravy ceny</w:t>
      </w:r>
      <w:r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203440B7" w14:textId="4FB10B50" w:rsidR="00753C8E" w:rsidRPr="00EA79F7" w:rsidRDefault="009D0DE9" w:rsidP="00E84E97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753C8E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: </w:t>
      </w:r>
      <w:r w:rsidR="00753C8E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D4067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kvartál podávania ponúk, referenčný kvartál,</w:t>
      </w:r>
      <w:r w:rsidR="00D40677" w:rsidRPr="00D4067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kvartál do ktorého spadá kalendárny deň, v ktorý uplynula lehota na predkladanie ponúk </w:t>
      </w:r>
      <w:r w:rsidR="001A550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="00D40677" w:rsidRPr="00D4067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do súťaže na zhotovenie stavby</w:t>
      </w:r>
      <w:r w:rsidR="00753C8E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7EF7A282" w14:textId="5F5394B4" w:rsidR="00822D33" w:rsidRPr="00EA79F7" w:rsidRDefault="009D0DE9" w:rsidP="00E84E97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riziko</m:t>
            </m:r>
          </m:sub>
        </m:sSub>
      </m:oMath>
      <w:r w:rsidR="00822D33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: </w:t>
      </w:r>
      <w:r w:rsidR="00822D33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D4067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obdobie </w:t>
      </w:r>
      <w:r w:rsidR="001A550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</w:t>
      </w:r>
      <w:r w:rsidR="00D4067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rokov </w:t>
      </w:r>
      <w:r w:rsidR="00AE473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späť</w:t>
      </w:r>
      <w:r w:rsidR="00D4067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na výpočet tzv. očakávaného rizika, </w:t>
      </w:r>
      <w:r w:rsidR="00D40677" w:rsidRPr="00D4067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obdobím na výpočet očakávaného rizika na základe </w:t>
      </w:r>
      <w:r w:rsidR="00AA0BB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vývoja </w:t>
      </w:r>
      <w:r w:rsidR="00D40677" w:rsidRPr="00D4067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ceny konkrétneho vybraného stavebného materiálu („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D40677" w:rsidRPr="00D4067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“) je obdobie </w:t>
      </w:r>
      <w:r w:rsidR="001A550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</w:t>
      </w:r>
      <w:r w:rsidR="00D40677" w:rsidRPr="00D4067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rokov predchádzajúce referenčnému kvartálu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D40677" w:rsidRPr="00D4067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900E35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080F0FCE" w14:textId="2F4F6496" w:rsidR="00204D21" w:rsidRPr="00EA79F7" w:rsidRDefault="009D0DE9" w:rsidP="00204D21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TR priem 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riziko</m:t>
                </m:r>
              </m:sub>
            </m:sSub>
          </m:sub>
        </m:sSub>
      </m:oMath>
      <w:r w:rsidR="00E84E97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: </w:t>
      </w:r>
      <w:r w:rsidR="00E84E97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C91268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aritmetický priemer </w:t>
      </w:r>
      <w:r w:rsidR="000152F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medziročného</w:t>
      </w:r>
      <w:r w:rsidR="000152F0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C91268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tempa rastu </w:t>
      </w:r>
      <w:r w:rsidR="000152F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kvartálnych </w:t>
      </w:r>
      <w:r w:rsidR="00476377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indexov </w:t>
      </w:r>
      <w:r w:rsidR="000152F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vybraného stavebného materiálu </w:t>
      </w:r>
      <w:r w:rsidR="00C91268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C91268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 v</w:t>
      </w:r>
      <w:r w:rsidR="000152F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čase</w:t>
      </w:r>
      <w:r w:rsidR="00C91268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 </w:t>
      </w:r>
      <w:r w:rsidR="0030090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riziko</m:t>
            </m:r>
          </m:sub>
        </m:sSub>
      </m:oMath>
      <w:r w:rsidR="00300909" w:rsidRPr="00300909">
        <w:rPr>
          <w:rFonts w:ascii="Times New Roman" w:eastAsiaTheme="minorEastAsia" w:hAnsi="Times New Roman" w:cs="Times New Roman"/>
          <w:sz w:val="24"/>
          <w:szCs w:val="24"/>
        </w:rPr>
        <w:t>“</w:t>
      </w:r>
      <w:r w:rsidR="00C91268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AA0BB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V prípade, ak je vypočítaná hodnota nižšia ako 0, použije sa hodnota 0.</w:t>
      </w:r>
    </w:p>
    <w:p w14:paraId="3ED1BF9E" w14:textId="2E3ACA42" w:rsidR="00FA74B7" w:rsidRDefault="009D0DE9" w:rsidP="00FA74B7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Navýšenie 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sub>
        </m:sSub>
      </m:oMath>
      <w:r w:rsidR="00FA74B7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: </w:t>
      </w:r>
      <w:r w:rsidR="00FA74B7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vypočítaná suma navýšenia za </w:t>
      </w:r>
      <w:r w:rsidR="00FA74B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vybraný stavebný materiál </w:t>
      </w:r>
      <w:r w:rsidR="00FA74B7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FA74B7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“ </w:t>
      </w:r>
      <w:r w:rsidR="001A550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="00FA74B7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na základe objektívnych príčin zmeny pôvodnej </w:t>
      </w:r>
      <w:r w:rsidR="00933C8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jednotkovej ceny stavebného materiálu </w:t>
      </w:r>
      <w:r w:rsidR="00FA74B7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FA74B7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“.</w:t>
      </w:r>
    </w:p>
    <w:p w14:paraId="436469F4" w14:textId="7E027170" w:rsidR="00933C8D" w:rsidRPr="00EA79F7" w:rsidRDefault="009D0DE9" w:rsidP="00933C8D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JC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sub>
        </m:sSub>
      </m:oMath>
      <w:r w:rsidR="00933C8D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: </w:t>
      </w:r>
      <w:r w:rsidR="00933C8D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933C8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jednotková cena, </w:t>
      </w:r>
      <w:r w:rsidR="00933C8D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hodnot</w:t>
      </w:r>
      <w:r w:rsidR="00933C8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33C8D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EUR vyjadrení za mernú jednotku </w:t>
      </w:r>
      <w:r w:rsidR="00933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konkrétneho stavebného materiálu </w:t>
      </w:r>
      <w:r w:rsidR="00933C8D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933C8D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933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čase </w:t>
      </w:r>
      <w:r w:rsidR="00F6112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F6112E" w:rsidRPr="00F6112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933C8D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základe spôsobu určenia podľa Článku 2, </w:t>
      </w:r>
      <w:r w:rsidR="00933C8D">
        <w:rPr>
          <w:rFonts w:ascii="Times New Roman" w:hAnsi="Times New Roman" w:cs="Times New Roman"/>
          <w:color w:val="000000" w:themeColor="text1"/>
          <w:sz w:val="24"/>
          <w:szCs w:val="24"/>
        </w:rPr>
        <w:t>ods. 6</w:t>
      </w:r>
      <w:r w:rsidR="00933C8D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2816ECAA" w14:textId="4D83283F" w:rsidR="00126D40" w:rsidRPr="00EA79F7" w:rsidRDefault="009D0DE9" w:rsidP="00204D21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Množstvo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sub>
        </m:sSub>
      </m:oMath>
      <w:r w:rsidR="00126D40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: </w:t>
      </w:r>
      <w:r w:rsidR="00126D40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126D40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realizované množstvo </w:t>
      </w:r>
      <w:r w:rsidR="005F5AB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konkrétneho stavebného materiálu </w:t>
      </w:r>
      <w:r w:rsidR="00126D40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126D40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“ </w:t>
      </w:r>
      <w:r w:rsidR="001A550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="00126D40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v</w:t>
      </w:r>
      <w:r w:rsidR="005F5AB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čase</w:t>
      </w:r>
      <w:r w:rsidR="00126D40"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 </w:t>
      </w:r>
      <w:r w:rsidR="005F5AB8" w:rsidRPr="00F7466B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5F5AB8" w:rsidRPr="00F7466B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5F5A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6E4E81" w14:textId="40E8A2F2" w:rsidR="0050417A" w:rsidRPr="00EA79F7" w:rsidRDefault="0050417A" w:rsidP="007D26EC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w:lastRenderedPageBreak/>
          <m:t xml:space="preserve">Navýšenie </m:t>
        </m:r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P</m:t>
        </m:r>
      </m:oMath>
      <w:r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: </w:t>
      </w:r>
      <w:r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súčet navýšení jednotlivých počítaných </w:t>
      </w:r>
      <w:r w:rsidR="005F5AB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vybraných stavebných materiálov </w:t>
      </w:r>
      <w:r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Pr="00EA79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“.</w:t>
      </w:r>
    </w:p>
    <w:p w14:paraId="70433999" w14:textId="77777777" w:rsidR="00CA7851" w:rsidRPr="00EA79F7" w:rsidRDefault="00CA7851" w:rsidP="00CA7851">
      <w:pPr>
        <w:pStyle w:val="Default"/>
        <w:spacing w:before="160" w:after="160"/>
        <w:jc w:val="center"/>
        <w:rPr>
          <w:b/>
          <w:bCs/>
          <w:color w:val="000000" w:themeColor="text1"/>
        </w:rPr>
      </w:pPr>
      <w:r w:rsidRPr="00EA79F7">
        <w:rPr>
          <w:b/>
          <w:bCs/>
          <w:color w:val="000000" w:themeColor="text1"/>
        </w:rPr>
        <w:t>Článok 3</w:t>
      </w:r>
    </w:p>
    <w:p w14:paraId="26A5027C" w14:textId="75C9F800" w:rsidR="00CA7851" w:rsidRDefault="00CA7851" w:rsidP="00CA7851">
      <w:pPr>
        <w:pStyle w:val="Default"/>
        <w:spacing w:before="160" w:after="160"/>
        <w:ind w:firstLine="708"/>
        <w:jc w:val="both"/>
        <w:rPr>
          <w:rFonts w:eastAsia="Times New Roman"/>
          <w:bCs/>
          <w:color w:val="000000" w:themeColor="text1"/>
          <w:lang w:eastAsia="sk-SK"/>
        </w:rPr>
      </w:pPr>
      <w:r>
        <w:rPr>
          <w:rFonts w:eastAsia="Times New Roman"/>
          <w:bCs/>
          <w:color w:val="000000" w:themeColor="text1"/>
          <w:lang w:eastAsia="sk-SK"/>
        </w:rPr>
        <w:t>Spracované údaje ŠÚ SR ukazovateľa „</w:t>
      </w:r>
      <w:r w:rsidRPr="00F00CA1">
        <w:rPr>
          <w:rFonts w:eastAsia="Times New Roman"/>
          <w:bCs/>
          <w:i/>
          <w:color w:val="000000" w:themeColor="text1"/>
          <w:lang w:eastAsia="sk-SK"/>
        </w:rPr>
        <w:t>Výrobné ceny vybraných materiálov používaných v stavebníctve podľa členenia CPA: index december 2005=100 [sp1823ms]</w:t>
      </w:r>
      <w:r>
        <w:rPr>
          <w:rFonts w:eastAsia="Times New Roman"/>
          <w:bCs/>
          <w:color w:val="000000" w:themeColor="text1"/>
          <w:lang w:eastAsia="sk-SK"/>
        </w:rPr>
        <w:t xml:space="preserve">“ potrebné na výpočet, </w:t>
      </w:r>
      <w:r w:rsidRPr="00CA7851">
        <w:rPr>
          <w:rFonts w:eastAsia="Times New Roman"/>
          <w:bCs/>
          <w:color w:val="000000" w:themeColor="text1"/>
          <w:lang w:eastAsia="sk-SK"/>
        </w:rPr>
        <w:t>ktorým sa stanovuje mechanizmus úpravy ceny</w:t>
      </w:r>
      <w:r>
        <w:rPr>
          <w:rFonts w:eastAsia="Times New Roman"/>
          <w:bCs/>
          <w:color w:val="000000" w:themeColor="text1"/>
          <w:lang w:eastAsia="sk-SK"/>
        </w:rPr>
        <w:t xml:space="preserve"> podľa tohto Metodického pokynu, budú zverejnené a aktualizované na webovej stránke Ministerstva dopravy a výstavby S</w:t>
      </w:r>
      <w:r w:rsidR="00F00CA1">
        <w:rPr>
          <w:rFonts w:eastAsia="Times New Roman"/>
          <w:bCs/>
          <w:color w:val="000000" w:themeColor="text1"/>
          <w:lang w:eastAsia="sk-SK"/>
        </w:rPr>
        <w:t>lovenskej republiky</w:t>
      </w:r>
      <w:r>
        <w:rPr>
          <w:rFonts w:eastAsia="Times New Roman"/>
          <w:bCs/>
          <w:color w:val="000000" w:themeColor="text1"/>
          <w:lang w:eastAsia="sk-SK"/>
        </w:rPr>
        <w:t>.</w:t>
      </w:r>
    </w:p>
    <w:p w14:paraId="2E59B844" w14:textId="0F9D752D" w:rsidR="000D7961" w:rsidRPr="00EA79F7" w:rsidRDefault="000D7961" w:rsidP="00CA7851">
      <w:pPr>
        <w:pStyle w:val="Default"/>
        <w:spacing w:before="160" w:after="160"/>
        <w:jc w:val="center"/>
        <w:rPr>
          <w:b/>
          <w:bCs/>
          <w:color w:val="000000" w:themeColor="text1"/>
        </w:rPr>
      </w:pPr>
      <w:r w:rsidRPr="00EA79F7">
        <w:rPr>
          <w:b/>
          <w:bCs/>
          <w:color w:val="000000" w:themeColor="text1"/>
        </w:rPr>
        <w:t xml:space="preserve">Článok </w:t>
      </w:r>
      <w:r w:rsidR="00CA7851">
        <w:rPr>
          <w:b/>
          <w:bCs/>
          <w:color w:val="000000" w:themeColor="text1"/>
        </w:rPr>
        <w:t>4</w:t>
      </w:r>
    </w:p>
    <w:p w14:paraId="13E26BCB" w14:textId="6D7A904C" w:rsidR="005F5AB8" w:rsidRDefault="009C35FF" w:rsidP="005F5AB8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</w:pPr>
      <w:r w:rsidRPr="00EA79F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Tento </w:t>
      </w:r>
      <w:r w:rsidR="000D7961" w:rsidRPr="00EA79F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Metodický pokyn </w:t>
      </w:r>
      <w:r w:rsidR="00695A4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ruší </w:t>
      </w:r>
      <w:r w:rsidR="005F5AB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Metodick</w:t>
      </w:r>
      <w:r w:rsidR="00695A4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ý pokyn</w:t>
      </w:r>
      <w:r w:rsidR="005F5AB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="005F5AB8" w:rsidRPr="005F5AB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Ministerstva dopravy a výstavby Slovenskej republiky č. 22/2022</w:t>
      </w:r>
      <w:r w:rsidR="005F5AB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, </w:t>
      </w:r>
      <w:r w:rsidR="00695A4C" w:rsidRPr="00695A4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ktorým sa stanovuje mechanizmus úpravy ceny v dôsledku zmien nákladov pri projektoch opravy a údržby,  pri výstavbe, modernizácie a rekonštrukcie inžinierskych stavieb a budov – zmena zmluvy, rámcovej dohody a koncesnej zmluvy počas </w:t>
      </w:r>
      <w:r w:rsidR="001A550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br/>
      </w:r>
      <w:r w:rsidR="00695A4C" w:rsidRPr="00695A4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jej trvania</w:t>
      </w:r>
      <w:r w:rsidR="00695A4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, </w:t>
      </w:r>
      <w:r w:rsidR="005F5AB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ktorý nadobudol účinnosť dňa 13.7.2022.</w:t>
      </w:r>
    </w:p>
    <w:p w14:paraId="5F3426A9" w14:textId="65CDEBA9" w:rsidR="00B90AB1" w:rsidRPr="00EA79F7" w:rsidRDefault="005F5AB8" w:rsidP="005F5AB8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Tento Metodický pokyn </w:t>
      </w:r>
      <w:r w:rsidR="000D7961" w:rsidRPr="00EA79F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nadobúda účinnosť dňa .... 2022.</w:t>
      </w:r>
      <w:r w:rsidR="00146113" w:rsidRPr="00EA79F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="00B90AB1" w:rsidRPr="00EA79F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Ukončenie platnosti </w:t>
      </w:r>
      <w:r w:rsidR="00CD2695" w:rsidRPr="00EA79F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tohto </w:t>
      </w:r>
      <w:r w:rsidR="00B90AB1" w:rsidRPr="00EA79F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Metodického pokynu bude závisieť od ukončenia </w:t>
      </w:r>
      <w:r w:rsidR="00B90AB1" w:rsidRPr="00EA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vojny Ruskej federácie na území Ukrajiny </w:t>
      </w:r>
      <w:r w:rsidR="00B90AB1" w:rsidRPr="00EA79F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a bude definované vydaním samostatného Metodického pokynu</w:t>
      </w:r>
      <w:r w:rsidR="009402A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,</w:t>
      </w:r>
      <w:r w:rsidR="00F00CA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 alebo rozhodnutím </w:t>
      </w:r>
      <w:r w:rsidR="00F00CA1" w:rsidRPr="005F5AB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Ministerstva dopravy a výstavby Slovenskej republiky</w:t>
      </w:r>
      <w:r w:rsidR="00B90AB1" w:rsidRPr="00EA79F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.</w:t>
      </w:r>
    </w:p>
    <w:p w14:paraId="18B63A96" w14:textId="6B2DF68D" w:rsidR="000D7961" w:rsidRPr="00EA79F7" w:rsidRDefault="000D7961" w:rsidP="00163936">
      <w:pPr>
        <w:pStyle w:val="Default"/>
        <w:spacing w:before="160" w:after="160"/>
        <w:jc w:val="center"/>
        <w:rPr>
          <w:b/>
          <w:bCs/>
          <w:color w:val="000000" w:themeColor="text1"/>
        </w:rPr>
      </w:pPr>
      <w:r w:rsidRPr="00EA79F7">
        <w:rPr>
          <w:b/>
          <w:bCs/>
          <w:color w:val="000000" w:themeColor="text1"/>
        </w:rPr>
        <w:t xml:space="preserve">Článok </w:t>
      </w:r>
      <w:r w:rsidR="00CA7851">
        <w:rPr>
          <w:b/>
          <w:bCs/>
          <w:color w:val="000000" w:themeColor="text1"/>
        </w:rPr>
        <w:t>5</w:t>
      </w:r>
    </w:p>
    <w:p w14:paraId="30958553" w14:textId="0B6ECC79" w:rsidR="006F45C6" w:rsidRPr="00EA79F7" w:rsidRDefault="001400DF" w:rsidP="000D7961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</w:pPr>
      <w:r w:rsidRPr="00EA79F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Indexácia inžinierskych stavieb a budov s dátumom vyhlásenia verejného obstarávania od 8.6.2022 sa riadi Metodickým pokynom </w:t>
      </w:r>
      <w:r w:rsidR="006F45C6" w:rsidRPr="00EA79F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Ministerstva dopravy a výstavby Slovenskej republiky </w:t>
      </w:r>
      <w:r w:rsidRPr="00EA79F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č. 19/2022. </w:t>
      </w:r>
      <w:bookmarkStart w:id="0" w:name="_GoBack"/>
      <w:bookmarkEnd w:id="0"/>
    </w:p>
    <w:p w14:paraId="6550817B" w14:textId="77777777" w:rsidR="000D7961" w:rsidRPr="00651122" w:rsidRDefault="000D7961" w:rsidP="000D7961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5C842EE3" w14:textId="77777777" w:rsidR="000D7961" w:rsidRPr="00651122" w:rsidRDefault="000D7961" w:rsidP="000D796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607A72F" w14:textId="77777777" w:rsidR="000D7961" w:rsidRPr="00651122" w:rsidRDefault="000D7961" w:rsidP="000D7961">
      <w:pPr>
        <w:keepNext/>
        <w:tabs>
          <w:tab w:val="left" w:pos="-284"/>
          <w:tab w:val="left" w:pos="0"/>
        </w:tabs>
        <w:spacing w:before="240" w:after="6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sk-SK"/>
        </w:rPr>
      </w:pPr>
      <w:r w:rsidRPr="006511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V Bratislave</w:t>
      </w:r>
    </w:p>
    <w:p w14:paraId="7EA5A56A" w14:textId="77777777" w:rsidR="000D7961" w:rsidRPr="00651122" w:rsidRDefault="000D7961" w:rsidP="000D7961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14:paraId="33C7D090" w14:textId="5E962C57" w:rsidR="000D7961" w:rsidRPr="00651122" w:rsidRDefault="000D7961" w:rsidP="000D7961">
      <w:pPr>
        <w:keepNext/>
        <w:tabs>
          <w:tab w:val="left" w:pos="-284"/>
          <w:tab w:val="left" w:pos="0"/>
        </w:tabs>
        <w:spacing w:before="240" w:after="60" w:line="240" w:lineRule="auto"/>
        <w:ind w:left="426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511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6511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</w:t>
      </w:r>
      <w:r w:rsidR="00BD11C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6511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Andrej Doležal</w:t>
      </w:r>
    </w:p>
    <w:p w14:paraId="1399044C" w14:textId="77777777" w:rsidR="000D7961" w:rsidRPr="00651122" w:rsidRDefault="000D7961" w:rsidP="000D7961">
      <w:pPr>
        <w:shd w:val="clear" w:color="auto" w:fill="FFFFFF"/>
        <w:spacing w:after="0" w:line="240" w:lineRule="auto"/>
        <w:ind w:left="4265" w:hanging="11"/>
        <w:jc w:val="center"/>
        <w:rPr>
          <w:rFonts w:ascii="Times New Roman" w:eastAsia="NSimSun" w:hAnsi="Times New Roman" w:cs="Arial"/>
          <w:bCs/>
          <w:kern w:val="2"/>
          <w:sz w:val="24"/>
          <w:szCs w:val="24"/>
          <w:lang w:eastAsia="zh-CN" w:bidi="hi-IN"/>
        </w:rPr>
      </w:pPr>
      <w:r w:rsidRPr="00651122">
        <w:rPr>
          <w:rFonts w:ascii="Times New Roman" w:eastAsia="NSimSun" w:hAnsi="Times New Roman" w:cs="Arial"/>
          <w:bCs/>
          <w:kern w:val="2"/>
          <w:sz w:val="24"/>
          <w:szCs w:val="24"/>
          <w:lang w:eastAsia="zh-CN" w:bidi="hi-IN"/>
        </w:rPr>
        <w:t>minister dopravy a výstavby</w:t>
      </w:r>
    </w:p>
    <w:p w14:paraId="25F6077B" w14:textId="0429E290" w:rsidR="00626C98" w:rsidRPr="0062042E" w:rsidRDefault="00BD11CE" w:rsidP="0047579F">
      <w:pPr>
        <w:spacing w:after="0" w:line="240" w:lineRule="auto"/>
        <w:ind w:left="3824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NSimSun" w:hAnsi="Times New Roman" w:cs="Arial"/>
          <w:bCs/>
          <w:kern w:val="2"/>
          <w:sz w:val="24"/>
          <w:szCs w:val="24"/>
          <w:lang w:eastAsia="zh-CN" w:bidi="hi-IN"/>
        </w:rPr>
        <w:t xml:space="preserve">  </w:t>
      </w:r>
      <w:r w:rsidR="000D7961" w:rsidRPr="00651122">
        <w:rPr>
          <w:rFonts w:ascii="Times New Roman" w:eastAsia="NSimSun" w:hAnsi="Times New Roman" w:cs="Arial"/>
          <w:bCs/>
          <w:kern w:val="2"/>
          <w:sz w:val="24"/>
          <w:szCs w:val="24"/>
          <w:lang w:eastAsia="zh-CN" w:bidi="hi-IN"/>
        </w:rPr>
        <w:t>Slovenskej republiky</w:t>
      </w:r>
    </w:p>
    <w:sectPr w:rsidR="00626C98" w:rsidRPr="0062042E" w:rsidSect="004757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87EB8" w14:textId="77777777" w:rsidR="00C7217E" w:rsidRDefault="00C7217E" w:rsidP="00226942">
      <w:pPr>
        <w:spacing w:after="0" w:line="240" w:lineRule="auto"/>
      </w:pPr>
      <w:r>
        <w:separator/>
      </w:r>
    </w:p>
  </w:endnote>
  <w:endnote w:type="continuationSeparator" w:id="0">
    <w:p w14:paraId="2714DE49" w14:textId="77777777" w:rsidR="00C7217E" w:rsidRDefault="00C7217E" w:rsidP="0022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7846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684110" w14:textId="20A656AD" w:rsidR="001A3DC0" w:rsidRDefault="001A3DC0">
            <w:pPr>
              <w:pStyle w:val="Pta"/>
              <w:jc w:val="right"/>
            </w:pP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26942">
              <w:rPr>
                <w:rFonts w:ascii="Times New Roman" w:hAnsi="Times New Roman" w:cs="Times New Roman"/>
                <w:bCs/>
              </w:rPr>
              <w:instrText>PAGE</w:instrTex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9D0DE9">
              <w:rPr>
                <w:rFonts w:ascii="Times New Roman" w:hAnsi="Times New Roman" w:cs="Times New Roman"/>
                <w:bCs/>
                <w:noProof/>
              </w:rPr>
              <w:t>6</w: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226942">
              <w:rPr>
                <w:rFonts w:ascii="Times New Roman" w:hAnsi="Times New Roman" w:cs="Times New Roman"/>
              </w:rPr>
              <w:t xml:space="preserve"> </w:t>
            </w:r>
            <w:r w:rsidRPr="00226942">
              <w:rPr>
                <w:rFonts w:ascii="Arial" w:hAnsi="Arial" w:cs="Arial"/>
              </w:rPr>
              <w:t>l</w:t>
            </w:r>
            <w:r w:rsidRPr="00226942">
              <w:rPr>
                <w:rFonts w:ascii="Times New Roman" w:hAnsi="Times New Roman" w:cs="Times New Roman"/>
              </w:rPr>
              <w:t xml:space="preserve"> </w: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26942">
              <w:rPr>
                <w:rFonts w:ascii="Times New Roman" w:hAnsi="Times New Roman" w:cs="Times New Roman"/>
                <w:bCs/>
              </w:rPr>
              <w:instrText>NUMPAGES</w:instrTex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9D0DE9">
              <w:rPr>
                <w:rFonts w:ascii="Times New Roman" w:hAnsi="Times New Roman" w:cs="Times New Roman"/>
                <w:bCs/>
                <w:noProof/>
              </w:rPr>
              <w:t>6</w: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2B9B1" w14:textId="77777777" w:rsidR="00C7217E" w:rsidRDefault="00C7217E" w:rsidP="00226942">
      <w:pPr>
        <w:spacing w:after="0" w:line="240" w:lineRule="auto"/>
      </w:pPr>
      <w:r>
        <w:separator/>
      </w:r>
    </w:p>
  </w:footnote>
  <w:footnote w:type="continuationSeparator" w:id="0">
    <w:p w14:paraId="5EBCEEF8" w14:textId="77777777" w:rsidR="00C7217E" w:rsidRDefault="00C7217E" w:rsidP="00226942">
      <w:pPr>
        <w:spacing w:after="0" w:line="240" w:lineRule="auto"/>
      </w:pPr>
      <w:r>
        <w:continuationSeparator/>
      </w:r>
    </w:p>
  </w:footnote>
  <w:footnote w:id="1">
    <w:p w14:paraId="2685340D" w14:textId="77777777" w:rsidR="001A3DC0" w:rsidRPr="007F161B" w:rsidRDefault="001A3DC0" w:rsidP="00002971">
      <w:pPr>
        <w:pStyle w:val="Textpoznmkypodiarou"/>
        <w:jc w:val="both"/>
        <w:rPr>
          <w:rFonts w:ascii="Times New Roman" w:hAnsi="Times New Roman" w:cs="Times New Roman"/>
        </w:rPr>
      </w:pPr>
      <w:r w:rsidRPr="007F161B">
        <w:rPr>
          <w:rStyle w:val="Odkaznapoznmkupodiarou"/>
          <w:rFonts w:ascii="Times New Roman" w:hAnsi="Times New Roman" w:cs="Times New Roman"/>
        </w:rPr>
        <w:footnoteRef/>
      </w:r>
      <w:r w:rsidRPr="007F161B">
        <w:rPr>
          <w:rFonts w:ascii="Times New Roman" w:hAnsi="Times New Roman" w:cs="Times New Roman"/>
        </w:rPr>
        <w:t xml:space="preserve"> § 43a, ods. 3</w:t>
      </w:r>
      <w:r>
        <w:rPr>
          <w:rFonts w:ascii="Times New Roman" w:hAnsi="Times New Roman" w:cs="Times New Roman"/>
        </w:rPr>
        <w:t xml:space="preserve"> z</w:t>
      </w:r>
      <w:r w:rsidRPr="007F161B">
        <w:rPr>
          <w:rFonts w:ascii="Times New Roman" w:hAnsi="Times New Roman" w:cs="Times New Roman"/>
        </w:rPr>
        <w:t>ákon</w:t>
      </w:r>
      <w:r>
        <w:rPr>
          <w:rFonts w:ascii="Times New Roman" w:hAnsi="Times New Roman" w:cs="Times New Roman"/>
        </w:rPr>
        <w:t xml:space="preserve">a č. 50/1976 Zb. </w:t>
      </w:r>
      <w:r w:rsidRPr="007F161B">
        <w:rPr>
          <w:rFonts w:ascii="Times New Roman" w:hAnsi="Times New Roman" w:cs="Times New Roman"/>
        </w:rPr>
        <w:t>o územnom plánovaní a stave</w:t>
      </w:r>
      <w:r>
        <w:rPr>
          <w:rFonts w:ascii="Times New Roman" w:hAnsi="Times New Roman" w:cs="Times New Roman"/>
        </w:rPr>
        <w:t xml:space="preserve">bnom poriadku (stavebný zákon) </w:t>
      </w:r>
      <w:r w:rsidRPr="007F161B">
        <w:rPr>
          <w:rFonts w:ascii="Times New Roman" w:hAnsi="Times New Roman" w:cs="Times New Roman"/>
        </w:rPr>
        <w:t>v znení neskorších predpisov</w:t>
      </w:r>
    </w:p>
  </w:footnote>
  <w:footnote w:id="2">
    <w:p w14:paraId="6F237142" w14:textId="4B0774FE" w:rsidR="001A3DC0" w:rsidRDefault="001A3DC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7F161B">
        <w:rPr>
          <w:rFonts w:ascii="Times New Roman" w:hAnsi="Times New Roman" w:cs="Times New Roman"/>
        </w:rPr>
        <w:t>§ 43</w:t>
      </w:r>
      <w:r>
        <w:rPr>
          <w:rFonts w:ascii="Times New Roman" w:hAnsi="Times New Roman" w:cs="Times New Roman"/>
        </w:rPr>
        <w:t xml:space="preserve">b a </w:t>
      </w:r>
      <w:r w:rsidRPr="007F161B">
        <w:rPr>
          <w:rFonts w:ascii="Times New Roman" w:hAnsi="Times New Roman" w:cs="Times New Roman"/>
        </w:rPr>
        <w:t>§ 43</w:t>
      </w:r>
      <w:r>
        <w:rPr>
          <w:rFonts w:ascii="Times New Roman" w:hAnsi="Times New Roman" w:cs="Times New Roman"/>
        </w:rPr>
        <w:t>c</w:t>
      </w:r>
      <w:r w:rsidRPr="007F161B">
        <w:rPr>
          <w:rFonts w:ascii="Times New Roman" w:hAnsi="Times New Roman" w:cs="Times New Roman"/>
        </w:rPr>
        <w:t>, ods. 3</w:t>
      </w:r>
      <w:r>
        <w:rPr>
          <w:rFonts w:ascii="Times New Roman" w:hAnsi="Times New Roman" w:cs="Times New Roman"/>
        </w:rPr>
        <w:t xml:space="preserve"> z</w:t>
      </w:r>
      <w:r w:rsidRPr="007F161B">
        <w:rPr>
          <w:rFonts w:ascii="Times New Roman" w:hAnsi="Times New Roman" w:cs="Times New Roman"/>
        </w:rPr>
        <w:t>ákon</w:t>
      </w:r>
      <w:r>
        <w:rPr>
          <w:rFonts w:ascii="Times New Roman" w:hAnsi="Times New Roman" w:cs="Times New Roman"/>
        </w:rPr>
        <w:t xml:space="preserve">a č. 50/1976 Zb. </w:t>
      </w:r>
      <w:r w:rsidRPr="007F161B">
        <w:rPr>
          <w:rFonts w:ascii="Times New Roman" w:hAnsi="Times New Roman" w:cs="Times New Roman"/>
        </w:rPr>
        <w:t>o územnom plánovaní a stave</w:t>
      </w:r>
      <w:r>
        <w:rPr>
          <w:rFonts w:ascii="Times New Roman" w:hAnsi="Times New Roman" w:cs="Times New Roman"/>
        </w:rPr>
        <w:t xml:space="preserve">bnom poriadku (stavebný zákon) </w:t>
      </w:r>
      <w:r w:rsidRPr="007F161B">
        <w:rPr>
          <w:rFonts w:ascii="Times New Roman" w:hAnsi="Times New Roman" w:cs="Times New Roman"/>
        </w:rPr>
        <w:t>v znení neskorších predpisov</w:t>
      </w:r>
    </w:p>
  </w:footnote>
  <w:footnote w:id="3">
    <w:p w14:paraId="25F63450" w14:textId="77777777" w:rsidR="001A3DC0" w:rsidRPr="007F161B" w:rsidRDefault="001A3DC0" w:rsidP="00002971">
      <w:pPr>
        <w:pStyle w:val="Textpoznmkypodiarou"/>
        <w:jc w:val="both"/>
        <w:rPr>
          <w:rFonts w:ascii="Times New Roman" w:hAnsi="Times New Roman" w:cs="Times New Roman"/>
        </w:rPr>
      </w:pPr>
      <w:r w:rsidRPr="007F161B">
        <w:rPr>
          <w:rStyle w:val="Odkaznapoznmkupodiarou"/>
          <w:rFonts w:ascii="Times New Roman" w:hAnsi="Times New Roman" w:cs="Times New Roman"/>
        </w:rPr>
        <w:footnoteRef/>
      </w:r>
      <w:r w:rsidRPr="007F161B">
        <w:rPr>
          <w:rFonts w:ascii="Times New Roman" w:hAnsi="Times New Roman" w:cs="Times New Roman"/>
        </w:rPr>
        <w:t xml:space="preserve"> §2 ods.</w:t>
      </w:r>
      <w:r>
        <w:rPr>
          <w:rFonts w:ascii="Times New Roman" w:hAnsi="Times New Roman" w:cs="Times New Roman"/>
        </w:rPr>
        <w:t xml:space="preserve"> </w:t>
      </w:r>
      <w:r w:rsidRPr="007F161B">
        <w:rPr>
          <w:rFonts w:ascii="Times New Roman" w:hAnsi="Times New Roman" w:cs="Times New Roman"/>
        </w:rPr>
        <w:t>1 zákona č.</w:t>
      </w:r>
      <w:r>
        <w:rPr>
          <w:rFonts w:ascii="Times New Roman" w:hAnsi="Times New Roman" w:cs="Times New Roman"/>
        </w:rPr>
        <w:t xml:space="preserve"> </w:t>
      </w:r>
      <w:r w:rsidRPr="007F161B">
        <w:rPr>
          <w:rFonts w:ascii="Times New Roman" w:hAnsi="Times New Roman" w:cs="Times New Roman"/>
        </w:rPr>
        <w:t>523/2004 Z. z. o rozpočtových pravidlách verejnej správy a o zmene a doplnení niektorých zákonov</w:t>
      </w:r>
    </w:p>
  </w:footnote>
  <w:footnote w:id="4">
    <w:p w14:paraId="2E847ADF" w14:textId="77777777" w:rsidR="001A3DC0" w:rsidRPr="00C873DF" w:rsidRDefault="001A3DC0" w:rsidP="000E136B">
      <w:pPr>
        <w:pStyle w:val="Textpoznmkypodiarou"/>
        <w:jc w:val="both"/>
        <w:rPr>
          <w:rFonts w:ascii="Times New Roman" w:hAnsi="Times New Roman" w:cs="Times New Roman"/>
        </w:rPr>
      </w:pPr>
      <w:r w:rsidRPr="007F161B">
        <w:rPr>
          <w:rFonts w:ascii="Times New Roman" w:hAnsi="Times New Roman" w:cs="Times New Roman"/>
        </w:rPr>
        <w:footnoteRef/>
      </w:r>
      <w:r w:rsidRPr="007F161B">
        <w:rPr>
          <w:rFonts w:ascii="Times New Roman" w:hAnsi="Times New Roman" w:cs="Times New Roman"/>
        </w:rPr>
        <w:t xml:space="preserve"> §7 – 9 zákona č. 343/2015 Z. z. o verejnom obstarávaní a o zmene a doplnení niektorých zákonov v znení neskorších predpisov</w:t>
      </w:r>
      <w:r w:rsidRPr="00C873DF">
        <w:rPr>
          <w:rFonts w:ascii="Times New Roman" w:hAnsi="Times New Roman" w:cs="Times New Roman"/>
        </w:rPr>
        <w:t xml:space="preserve"> </w:t>
      </w:r>
    </w:p>
  </w:footnote>
  <w:footnote w:id="5">
    <w:p w14:paraId="64F43AC0" w14:textId="735D0E87" w:rsidR="001A3DC0" w:rsidRDefault="001A3DC0" w:rsidP="00753C8E">
      <w:pPr>
        <w:pStyle w:val="Textpoznmkypodiarou"/>
      </w:pPr>
      <w:r w:rsidRPr="00832A30">
        <w:rPr>
          <w:rStyle w:val="Odkaznapoznmkupodiarou"/>
          <w:rFonts w:ascii="Times New Roman" w:hAnsi="Times New Roman" w:cs="Times New Roman"/>
        </w:rPr>
        <w:footnoteRef/>
      </w:r>
      <w:r w:rsidRPr="00832A30">
        <w:rPr>
          <w:rStyle w:val="Odkaznapoznmkupodiarou"/>
          <w:rFonts w:ascii="Times New Roman" w:hAnsi="Times New Roman" w:cs="Times New Roman"/>
        </w:rPr>
        <w:t xml:space="preserve"> </w:t>
      </w:r>
      <w:r w:rsidRPr="00832A30">
        <w:rPr>
          <w:rFonts w:ascii="Times New Roman" w:hAnsi="Times New Roman" w:cs="Times New Roman"/>
        </w:rPr>
        <w:t>Štatistická klasifikácia produktov podľa činností (CPA) 2015</w:t>
      </w:r>
      <w:r>
        <w:rPr>
          <w:rFonts w:ascii="Times New Roman" w:hAnsi="Times New Roman" w:cs="Times New Roman"/>
        </w:rPr>
        <w:t xml:space="preserve">: </w:t>
      </w:r>
      <w:hyperlink r:id="rId1" w:anchor="Z7_Q7I8BB1A00HCB0IR6PUKPT3032" w:history="1">
        <w:r w:rsidRPr="00E024E2">
          <w:rPr>
            <w:rStyle w:val="Hypertextovprepojenie"/>
            <w:rFonts w:ascii="Times New Roman" w:hAnsi="Times New Roman" w:cs="Times New Roman"/>
          </w:rPr>
          <w:t>https://slovak.statistics.sk/wps/portal/!ut/p/z1/jZBBb4JAEIV_Sw8cuzM46K69LRxk1SZASsC9NGgQSVwwuC1_v9T00Cbt1rnN5Hvz8h5oKEF31XvbVLbtu-o87Tu9eE25EmHoS8TnTYSKVJyGMvNRzqG4AdFKxgHfIortao5Kxnm2TIlQEuh79PjHSLxP7wC0-30B2mmhgi_AFfE_kzXodm_YeDAMmZjRdCU_CPiSuE-fHctuT6IBPdTHeqgH9jZM1Z-svVyfPPRwHEfW9H1zrtmhNx7-Jjn1VwvlTxJ2Uzv8W7Y4ClFliyTfJC-ENLvV5wQuJs9LbBNTCCse04cPbc-u4w!!/#Z7_Q7I8BB1A00HCB0IR6PUKPT3032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6">
    <w:p w14:paraId="21270108" w14:textId="158C26FF" w:rsidR="00B56DF6" w:rsidRPr="00153D88" w:rsidRDefault="00B56DF6">
      <w:pPr>
        <w:pStyle w:val="Textpoznmkypodiarou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153D88">
        <w:rPr>
          <w:rFonts w:ascii="Times New Roman" w:hAnsi="Times New Roman" w:cs="Times New Roman"/>
        </w:rPr>
        <w:t xml:space="preserve">Ukazovateľ </w:t>
      </w:r>
      <w:r>
        <w:rPr>
          <w:rFonts w:ascii="Times New Roman" w:hAnsi="Times New Roman" w:cs="Times New Roman"/>
        </w:rPr>
        <w:t>ŠÚ SR</w:t>
      </w:r>
      <w:r w:rsidR="000C5F51">
        <w:rPr>
          <w:rFonts w:ascii="Times New Roman" w:hAnsi="Times New Roman" w:cs="Times New Roman"/>
        </w:rPr>
        <w:t xml:space="preserve">, </w:t>
      </w:r>
      <w:r w:rsidRPr="00153D88">
        <w:rPr>
          <w:rFonts w:ascii="Times New Roman" w:hAnsi="Times New Roman" w:cs="Times New Roman"/>
        </w:rPr>
        <w:t xml:space="preserve">Výrobné ceny vybraných materiálov používaných v stavebníctve podľa členenia CPA: index december 2005=100 [sp1823ms]“: </w:t>
      </w:r>
      <w:hyperlink r:id="rId2" w:anchor="!/view/sk/vbd_sk_win2/sp1823ms/v_sp1823ms_00_00_00_sk" w:history="1">
        <w:r w:rsidRPr="002C7986">
          <w:rPr>
            <w:rStyle w:val="Hypertextovprepojenie"/>
            <w:rFonts w:ascii="Times New Roman" w:hAnsi="Times New Roman" w:cs="Times New Roman"/>
          </w:rPr>
          <w:t>http://datacube.statistics.sk/#!/view/sk/vbd_sk_win2/sp1823ms/v_sp1823ms_00_00_00_sk</w:t>
        </w:r>
      </w:hyperlink>
      <w:r>
        <w:rPr>
          <w:rFonts w:ascii="Times New Roman" w:hAnsi="Times New Roman" w:cs="Times New Roman"/>
        </w:rPr>
        <w:t xml:space="preserve"> </w:t>
      </w:r>
      <w:r w:rsidRPr="00153D88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F48"/>
    <w:multiLevelType w:val="hybridMultilevel"/>
    <w:tmpl w:val="F34EBF52"/>
    <w:lvl w:ilvl="0" w:tplc="DCC2B1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17C49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5B0D"/>
    <w:multiLevelType w:val="hybridMultilevel"/>
    <w:tmpl w:val="41A2767C"/>
    <w:lvl w:ilvl="0" w:tplc="DCC2B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69BE"/>
    <w:multiLevelType w:val="hybridMultilevel"/>
    <w:tmpl w:val="01240E42"/>
    <w:lvl w:ilvl="0" w:tplc="390E50C2">
      <w:start w:val="1"/>
      <w:numFmt w:val="decimal"/>
      <w:lvlText w:val="(%1)"/>
      <w:lvlJc w:val="left"/>
      <w:pPr>
        <w:ind w:left="340" w:hanging="198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39372E"/>
    <w:multiLevelType w:val="hybridMultilevel"/>
    <w:tmpl w:val="470287D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955310"/>
    <w:multiLevelType w:val="hybridMultilevel"/>
    <w:tmpl w:val="E4FE7F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86807"/>
    <w:multiLevelType w:val="hybridMultilevel"/>
    <w:tmpl w:val="470287D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DB5AF3"/>
    <w:multiLevelType w:val="hybridMultilevel"/>
    <w:tmpl w:val="EF30B6F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6D7DE7"/>
    <w:multiLevelType w:val="hybridMultilevel"/>
    <w:tmpl w:val="126036C6"/>
    <w:lvl w:ilvl="0" w:tplc="B7E0A2E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color w:val="000000" w:themeColor="text1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347E2"/>
    <w:multiLevelType w:val="hybridMultilevel"/>
    <w:tmpl w:val="D1A08D7C"/>
    <w:lvl w:ilvl="0" w:tplc="774E7D2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33FEA"/>
    <w:multiLevelType w:val="hybridMultilevel"/>
    <w:tmpl w:val="41A2767C"/>
    <w:lvl w:ilvl="0" w:tplc="DCC2B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F51A1"/>
    <w:multiLevelType w:val="hybridMultilevel"/>
    <w:tmpl w:val="470287D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A10D5D"/>
    <w:multiLevelType w:val="hybridMultilevel"/>
    <w:tmpl w:val="470287D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7667AF"/>
    <w:multiLevelType w:val="hybridMultilevel"/>
    <w:tmpl w:val="845C56C6"/>
    <w:lvl w:ilvl="0" w:tplc="9CEA5A3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B6F20"/>
    <w:multiLevelType w:val="hybridMultilevel"/>
    <w:tmpl w:val="E0967472"/>
    <w:lvl w:ilvl="0" w:tplc="017C494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1274D"/>
    <w:multiLevelType w:val="hybridMultilevel"/>
    <w:tmpl w:val="45842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76961"/>
    <w:multiLevelType w:val="hybridMultilevel"/>
    <w:tmpl w:val="F7CACCD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14"/>
  </w:num>
  <w:num w:numId="7">
    <w:abstractNumId w:val="4"/>
  </w:num>
  <w:num w:numId="8">
    <w:abstractNumId w:val="13"/>
  </w:num>
  <w:num w:numId="9">
    <w:abstractNumId w:val="6"/>
  </w:num>
  <w:num w:numId="10">
    <w:abstractNumId w:val="3"/>
  </w:num>
  <w:num w:numId="11">
    <w:abstractNumId w:val="10"/>
  </w:num>
  <w:num w:numId="12">
    <w:abstractNumId w:val="11"/>
  </w:num>
  <w:num w:numId="13">
    <w:abstractNumId w:val="5"/>
  </w:num>
  <w:num w:numId="14">
    <w:abstractNumId w:val="12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1E"/>
    <w:rsid w:val="00000702"/>
    <w:rsid w:val="00002971"/>
    <w:rsid w:val="000048FA"/>
    <w:rsid w:val="00006CC2"/>
    <w:rsid w:val="00014970"/>
    <w:rsid w:val="000152F0"/>
    <w:rsid w:val="00022677"/>
    <w:rsid w:val="00031A4B"/>
    <w:rsid w:val="00032CAD"/>
    <w:rsid w:val="00033035"/>
    <w:rsid w:val="00052B2F"/>
    <w:rsid w:val="00052B61"/>
    <w:rsid w:val="0006222D"/>
    <w:rsid w:val="00065CDC"/>
    <w:rsid w:val="00067C5F"/>
    <w:rsid w:val="000737AA"/>
    <w:rsid w:val="00087974"/>
    <w:rsid w:val="000A4EAD"/>
    <w:rsid w:val="000B1BA7"/>
    <w:rsid w:val="000C5F51"/>
    <w:rsid w:val="000D7961"/>
    <w:rsid w:val="000E136B"/>
    <w:rsid w:val="000E3958"/>
    <w:rsid w:val="00101795"/>
    <w:rsid w:val="001050F7"/>
    <w:rsid w:val="00107463"/>
    <w:rsid w:val="001104CE"/>
    <w:rsid w:val="00126D40"/>
    <w:rsid w:val="001361B7"/>
    <w:rsid w:val="001400DF"/>
    <w:rsid w:val="00141756"/>
    <w:rsid w:val="00144410"/>
    <w:rsid w:val="00144539"/>
    <w:rsid w:val="00146113"/>
    <w:rsid w:val="00151B72"/>
    <w:rsid w:val="00151F03"/>
    <w:rsid w:val="00153D88"/>
    <w:rsid w:val="00163936"/>
    <w:rsid w:val="00170927"/>
    <w:rsid w:val="001808D2"/>
    <w:rsid w:val="001A1B47"/>
    <w:rsid w:val="001A3DC0"/>
    <w:rsid w:val="001A4439"/>
    <w:rsid w:val="001A550A"/>
    <w:rsid w:val="001B38BB"/>
    <w:rsid w:val="001B74C7"/>
    <w:rsid w:val="001C4C72"/>
    <w:rsid w:val="001C5DE5"/>
    <w:rsid w:val="001D01B2"/>
    <w:rsid w:val="001D5755"/>
    <w:rsid w:val="001F1972"/>
    <w:rsid w:val="00204288"/>
    <w:rsid w:val="00204D21"/>
    <w:rsid w:val="0022045B"/>
    <w:rsid w:val="00226942"/>
    <w:rsid w:val="00262BC7"/>
    <w:rsid w:val="00262ED2"/>
    <w:rsid w:val="0027156C"/>
    <w:rsid w:val="00284BEA"/>
    <w:rsid w:val="002879ED"/>
    <w:rsid w:val="002903B7"/>
    <w:rsid w:val="00290629"/>
    <w:rsid w:val="00294102"/>
    <w:rsid w:val="002A4F49"/>
    <w:rsid w:val="002B576E"/>
    <w:rsid w:val="002C5250"/>
    <w:rsid w:val="002E2DBE"/>
    <w:rsid w:val="002E3B13"/>
    <w:rsid w:val="002F5BF0"/>
    <w:rsid w:val="002F5E7E"/>
    <w:rsid w:val="002F641A"/>
    <w:rsid w:val="00300909"/>
    <w:rsid w:val="00315575"/>
    <w:rsid w:val="00323ED0"/>
    <w:rsid w:val="003304F9"/>
    <w:rsid w:val="00333A89"/>
    <w:rsid w:val="00352356"/>
    <w:rsid w:val="00352D32"/>
    <w:rsid w:val="0036510E"/>
    <w:rsid w:val="00373170"/>
    <w:rsid w:val="003738BC"/>
    <w:rsid w:val="00390442"/>
    <w:rsid w:val="0039662C"/>
    <w:rsid w:val="003A39D6"/>
    <w:rsid w:val="003B7B03"/>
    <w:rsid w:val="003C58CB"/>
    <w:rsid w:val="003D01B8"/>
    <w:rsid w:val="003D74CD"/>
    <w:rsid w:val="003F1729"/>
    <w:rsid w:val="003F1ADE"/>
    <w:rsid w:val="003F4B6D"/>
    <w:rsid w:val="00417636"/>
    <w:rsid w:val="00422264"/>
    <w:rsid w:val="00427A71"/>
    <w:rsid w:val="00437F9D"/>
    <w:rsid w:val="0045125E"/>
    <w:rsid w:val="004541A8"/>
    <w:rsid w:val="004546A5"/>
    <w:rsid w:val="00456056"/>
    <w:rsid w:val="00456F33"/>
    <w:rsid w:val="00463F40"/>
    <w:rsid w:val="00473FC3"/>
    <w:rsid w:val="0047579F"/>
    <w:rsid w:val="00476377"/>
    <w:rsid w:val="00491936"/>
    <w:rsid w:val="004A7EF2"/>
    <w:rsid w:val="004C52DE"/>
    <w:rsid w:val="004D0F5D"/>
    <w:rsid w:val="004D1A44"/>
    <w:rsid w:val="004D3384"/>
    <w:rsid w:val="004D4482"/>
    <w:rsid w:val="004E5D1E"/>
    <w:rsid w:val="004F696A"/>
    <w:rsid w:val="0050417A"/>
    <w:rsid w:val="0051122C"/>
    <w:rsid w:val="00511FFC"/>
    <w:rsid w:val="00513743"/>
    <w:rsid w:val="00520C4D"/>
    <w:rsid w:val="0052596E"/>
    <w:rsid w:val="00525A63"/>
    <w:rsid w:val="00526E8B"/>
    <w:rsid w:val="00542064"/>
    <w:rsid w:val="00542CCD"/>
    <w:rsid w:val="00542F1F"/>
    <w:rsid w:val="00547849"/>
    <w:rsid w:val="0055070E"/>
    <w:rsid w:val="0057118B"/>
    <w:rsid w:val="0057641A"/>
    <w:rsid w:val="005924EA"/>
    <w:rsid w:val="005A46E8"/>
    <w:rsid w:val="005A62CD"/>
    <w:rsid w:val="005A7DF0"/>
    <w:rsid w:val="005B5838"/>
    <w:rsid w:val="005C27DD"/>
    <w:rsid w:val="005C496A"/>
    <w:rsid w:val="005D76D9"/>
    <w:rsid w:val="005F5AB8"/>
    <w:rsid w:val="005F783A"/>
    <w:rsid w:val="006051FF"/>
    <w:rsid w:val="00606002"/>
    <w:rsid w:val="00614D7F"/>
    <w:rsid w:val="00616B2B"/>
    <w:rsid w:val="00620418"/>
    <w:rsid w:val="0062042E"/>
    <w:rsid w:val="00626C98"/>
    <w:rsid w:val="0062769B"/>
    <w:rsid w:val="00643EC1"/>
    <w:rsid w:val="00646DC6"/>
    <w:rsid w:val="00647168"/>
    <w:rsid w:val="00651022"/>
    <w:rsid w:val="00651122"/>
    <w:rsid w:val="00652446"/>
    <w:rsid w:val="00653666"/>
    <w:rsid w:val="00666E62"/>
    <w:rsid w:val="0067423C"/>
    <w:rsid w:val="00674590"/>
    <w:rsid w:val="006778FA"/>
    <w:rsid w:val="00690AC6"/>
    <w:rsid w:val="00695A4C"/>
    <w:rsid w:val="00696460"/>
    <w:rsid w:val="00697420"/>
    <w:rsid w:val="006A1992"/>
    <w:rsid w:val="006B13B0"/>
    <w:rsid w:val="006B1C4A"/>
    <w:rsid w:val="006B30B2"/>
    <w:rsid w:val="006C2564"/>
    <w:rsid w:val="006D72E8"/>
    <w:rsid w:val="006F45C6"/>
    <w:rsid w:val="00703195"/>
    <w:rsid w:val="007067F5"/>
    <w:rsid w:val="007329F3"/>
    <w:rsid w:val="00734F5E"/>
    <w:rsid w:val="00737A52"/>
    <w:rsid w:val="00750DB4"/>
    <w:rsid w:val="00753C8E"/>
    <w:rsid w:val="0076508A"/>
    <w:rsid w:val="00793767"/>
    <w:rsid w:val="0079378A"/>
    <w:rsid w:val="00793F07"/>
    <w:rsid w:val="007967B2"/>
    <w:rsid w:val="007B01A3"/>
    <w:rsid w:val="007B14FD"/>
    <w:rsid w:val="007D26EC"/>
    <w:rsid w:val="007D4974"/>
    <w:rsid w:val="007E03E5"/>
    <w:rsid w:val="007E7253"/>
    <w:rsid w:val="007F1533"/>
    <w:rsid w:val="007F3EFA"/>
    <w:rsid w:val="008004D3"/>
    <w:rsid w:val="00817680"/>
    <w:rsid w:val="00822D33"/>
    <w:rsid w:val="00831D23"/>
    <w:rsid w:val="00832A30"/>
    <w:rsid w:val="0083747B"/>
    <w:rsid w:val="00842DBA"/>
    <w:rsid w:val="00843C20"/>
    <w:rsid w:val="00843C79"/>
    <w:rsid w:val="00843CCC"/>
    <w:rsid w:val="00847D53"/>
    <w:rsid w:val="00871290"/>
    <w:rsid w:val="00876B2A"/>
    <w:rsid w:val="008854B4"/>
    <w:rsid w:val="008B741E"/>
    <w:rsid w:val="008C4135"/>
    <w:rsid w:val="008C7D3C"/>
    <w:rsid w:val="008E1257"/>
    <w:rsid w:val="00900E35"/>
    <w:rsid w:val="009139CE"/>
    <w:rsid w:val="009146F2"/>
    <w:rsid w:val="00933C8D"/>
    <w:rsid w:val="009402AA"/>
    <w:rsid w:val="00944FCB"/>
    <w:rsid w:val="00995524"/>
    <w:rsid w:val="009C35FF"/>
    <w:rsid w:val="009C3D8E"/>
    <w:rsid w:val="009D0DE9"/>
    <w:rsid w:val="009D19B8"/>
    <w:rsid w:val="009D3A8D"/>
    <w:rsid w:val="009D603A"/>
    <w:rsid w:val="009E33DD"/>
    <w:rsid w:val="009F203F"/>
    <w:rsid w:val="00A24436"/>
    <w:rsid w:val="00A25EEB"/>
    <w:rsid w:val="00A53895"/>
    <w:rsid w:val="00A63E63"/>
    <w:rsid w:val="00A77BB0"/>
    <w:rsid w:val="00A856B9"/>
    <w:rsid w:val="00A92635"/>
    <w:rsid w:val="00A94DBA"/>
    <w:rsid w:val="00A97C7A"/>
    <w:rsid w:val="00AA0BB3"/>
    <w:rsid w:val="00AA56AA"/>
    <w:rsid w:val="00AA5C15"/>
    <w:rsid w:val="00AB37A4"/>
    <w:rsid w:val="00AC2D25"/>
    <w:rsid w:val="00AC4D3E"/>
    <w:rsid w:val="00AD64B0"/>
    <w:rsid w:val="00AE473C"/>
    <w:rsid w:val="00AF2D58"/>
    <w:rsid w:val="00AF5935"/>
    <w:rsid w:val="00AF6946"/>
    <w:rsid w:val="00B03479"/>
    <w:rsid w:val="00B10B7E"/>
    <w:rsid w:val="00B17348"/>
    <w:rsid w:val="00B21851"/>
    <w:rsid w:val="00B40630"/>
    <w:rsid w:val="00B4767C"/>
    <w:rsid w:val="00B51D45"/>
    <w:rsid w:val="00B56434"/>
    <w:rsid w:val="00B56DF6"/>
    <w:rsid w:val="00B5700A"/>
    <w:rsid w:val="00B57226"/>
    <w:rsid w:val="00B776A2"/>
    <w:rsid w:val="00B80F52"/>
    <w:rsid w:val="00B90AB1"/>
    <w:rsid w:val="00B97A8A"/>
    <w:rsid w:val="00BA116A"/>
    <w:rsid w:val="00BA3AC4"/>
    <w:rsid w:val="00BA5A18"/>
    <w:rsid w:val="00BA7628"/>
    <w:rsid w:val="00BB0869"/>
    <w:rsid w:val="00BD11CE"/>
    <w:rsid w:val="00BD53E9"/>
    <w:rsid w:val="00BD5D48"/>
    <w:rsid w:val="00BE060C"/>
    <w:rsid w:val="00BF4CD2"/>
    <w:rsid w:val="00C0550D"/>
    <w:rsid w:val="00C23956"/>
    <w:rsid w:val="00C26760"/>
    <w:rsid w:val="00C4419A"/>
    <w:rsid w:val="00C46151"/>
    <w:rsid w:val="00C530AB"/>
    <w:rsid w:val="00C53C4B"/>
    <w:rsid w:val="00C55CF2"/>
    <w:rsid w:val="00C7217E"/>
    <w:rsid w:val="00C723C3"/>
    <w:rsid w:val="00C818FB"/>
    <w:rsid w:val="00C850E7"/>
    <w:rsid w:val="00C85B07"/>
    <w:rsid w:val="00C873DF"/>
    <w:rsid w:val="00C91268"/>
    <w:rsid w:val="00CA718F"/>
    <w:rsid w:val="00CA7816"/>
    <w:rsid w:val="00CA7851"/>
    <w:rsid w:val="00CB0A4E"/>
    <w:rsid w:val="00CB375F"/>
    <w:rsid w:val="00CB7379"/>
    <w:rsid w:val="00CC1831"/>
    <w:rsid w:val="00CC6583"/>
    <w:rsid w:val="00CD016A"/>
    <w:rsid w:val="00CD2695"/>
    <w:rsid w:val="00CE5F46"/>
    <w:rsid w:val="00CE7E33"/>
    <w:rsid w:val="00D1188C"/>
    <w:rsid w:val="00D12CC7"/>
    <w:rsid w:val="00D20D43"/>
    <w:rsid w:val="00D24D89"/>
    <w:rsid w:val="00D304C8"/>
    <w:rsid w:val="00D30D5C"/>
    <w:rsid w:val="00D40677"/>
    <w:rsid w:val="00D41F87"/>
    <w:rsid w:val="00D54E92"/>
    <w:rsid w:val="00D7410C"/>
    <w:rsid w:val="00D7734F"/>
    <w:rsid w:val="00D90E78"/>
    <w:rsid w:val="00D922D0"/>
    <w:rsid w:val="00D93F0B"/>
    <w:rsid w:val="00DA501A"/>
    <w:rsid w:val="00DB3881"/>
    <w:rsid w:val="00DD4E9D"/>
    <w:rsid w:val="00DE73FE"/>
    <w:rsid w:val="00E02D02"/>
    <w:rsid w:val="00E1290F"/>
    <w:rsid w:val="00E32C9A"/>
    <w:rsid w:val="00E41F38"/>
    <w:rsid w:val="00E42D81"/>
    <w:rsid w:val="00E622D3"/>
    <w:rsid w:val="00E76E28"/>
    <w:rsid w:val="00E8447D"/>
    <w:rsid w:val="00E84E97"/>
    <w:rsid w:val="00E87F88"/>
    <w:rsid w:val="00E971F7"/>
    <w:rsid w:val="00EA4908"/>
    <w:rsid w:val="00EA79F7"/>
    <w:rsid w:val="00EB01C7"/>
    <w:rsid w:val="00EB0BF8"/>
    <w:rsid w:val="00EC703F"/>
    <w:rsid w:val="00ED0F7E"/>
    <w:rsid w:val="00ED5823"/>
    <w:rsid w:val="00EE364D"/>
    <w:rsid w:val="00EE4AC9"/>
    <w:rsid w:val="00F00CA1"/>
    <w:rsid w:val="00F0501C"/>
    <w:rsid w:val="00F12B27"/>
    <w:rsid w:val="00F20909"/>
    <w:rsid w:val="00F358D8"/>
    <w:rsid w:val="00F437B1"/>
    <w:rsid w:val="00F52B2F"/>
    <w:rsid w:val="00F6112E"/>
    <w:rsid w:val="00F6618D"/>
    <w:rsid w:val="00F71AAF"/>
    <w:rsid w:val="00F71D95"/>
    <w:rsid w:val="00F735E9"/>
    <w:rsid w:val="00F92367"/>
    <w:rsid w:val="00F9465D"/>
    <w:rsid w:val="00FA0605"/>
    <w:rsid w:val="00FA35BD"/>
    <w:rsid w:val="00FA74B7"/>
    <w:rsid w:val="00FD396F"/>
    <w:rsid w:val="00FD60AE"/>
    <w:rsid w:val="00FE79C0"/>
    <w:rsid w:val="00FF6B00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85F1D0"/>
  <w15:chartTrackingRefBased/>
  <w15:docId w15:val="{7DBC4602-4818-4BC5-89BD-FBB04E27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44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6B13B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304F9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734F5E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26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6942"/>
  </w:style>
  <w:style w:type="paragraph" w:styleId="Pta">
    <w:name w:val="footer"/>
    <w:basedOn w:val="Normlny"/>
    <w:link w:val="PtaChar"/>
    <w:uiPriority w:val="99"/>
    <w:unhideWhenUsed/>
    <w:rsid w:val="00226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6942"/>
  </w:style>
  <w:style w:type="paragraph" w:styleId="Textbubliny">
    <w:name w:val="Balloon Text"/>
    <w:basedOn w:val="Normlny"/>
    <w:link w:val="TextbublinyChar"/>
    <w:uiPriority w:val="99"/>
    <w:semiHidden/>
    <w:unhideWhenUsed/>
    <w:rsid w:val="0014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45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6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C65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C658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C658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79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8797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87974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36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53666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C2564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491936"/>
    <w:pPr>
      <w:spacing w:after="0" w:line="240" w:lineRule="auto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B17348"/>
    <w:rPr>
      <w:color w:val="605E5C"/>
      <w:shd w:val="clear" w:color="auto" w:fill="E1DFDD"/>
    </w:rPr>
  </w:style>
  <w:style w:type="paragraph" w:customStyle="1" w:styleId="msonormal0">
    <w:name w:val="msonormal"/>
    <w:basedOn w:val="Normlny"/>
    <w:rsid w:val="0094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944FC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944FC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944FCB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944FCB"/>
    <w:pPr>
      <w:pBdr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944FCB"/>
    <w:pPr>
      <w:shd w:val="clear" w:color="000000" w:fill="4472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944FCB"/>
    <w:pPr>
      <w:pBdr>
        <w:bottom w:val="single" w:sz="4" w:space="0" w:color="auto"/>
      </w:pBdr>
      <w:shd w:val="clear" w:color="000000" w:fill="4472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944FC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944FC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944FCB"/>
    <w:pP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sk-SK"/>
    </w:rPr>
  </w:style>
  <w:style w:type="paragraph" w:customStyle="1" w:styleId="xl73">
    <w:name w:val="xl73"/>
    <w:basedOn w:val="Normlny"/>
    <w:rsid w:val="00944FC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944FCB"/>
    <w:pPr>
      <w:pBdr>
        <w:top w:val="single" w:sz="4" w:space="0" w:color="auto"/>
      </w:pBdr>
      <w:shd w:val="clear" w:color="000000" w:fill="4472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944FC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944FC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944FC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944FC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944FCB"/>
    <w:pPr>
      <w:shd w:val="clear" w:color="000000" w:fill="C0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sk-SK"/>
    </w:rPr>
  </w:style>
  <w:style w:type="paragraph" w:customStyle="1" w:styleId="xl80">
    <w:name w:val="xl80"/>
    <w:basedOn w:val="Normlny"/>
    <w:rsid w:val="00944FCB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944FCB"/>
    <w:pPr>
      <w:pBdr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944FCB"/>
    <w:pPr>
      <w:pBdr>
        <w:top w:val="single" w:sz="4" w:space="0" w:color="auto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944FCB"/>
    <w:pP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944FCB"/>
    <w:pPr>
      <w:pBdr>
        <w:bottom w:val="single" w:sz="4" w:space="0" w:color="auto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944FCB"/>
    <w:pPr>
      <w:pBdr>
        <w:top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sk-SK"/>
    </w:rPr>
  </w:style>
  <w:style w:type="paragraph" w:customStyle="1" w:styleId="xl86">
    <w:name w:val="xl86"/>
    <w:basedOn w:val="Normlny"/>
    <w:rsid w:val="00944FCB"/>
    <w:pP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datacube.statistics.sk/" TargetMode="External"/><Relationship Id="rId1" Type="http://schemas.openxmlformats.org/officeDocument/2006/relationships/hyperlink" Target="https://slovak.statistics.sk/wps/portal/!ut/p/z1/jZBBb4JAEIV_Sw8cuzM46K69LRxk1SZASsC9NGgQSVwwuC1_v9T00Cbt1rnN5Hvz8h5oKEF31XvbVLbtu-o87Tu9eE25EmHoS8TnTYSKVJyGMvNRzqG4AdFKxgHfIortao5Kxnm2TIlQEuh79PjHSLxP7wC0-30B2mmhgi_AFfE_kzXodm_YeDAMmZjRdCU_CPiSuE-fHctuT6IBPdTHeqgH9jZM1Z-svVyfPPRwHEfW9H1zrtmhNx7-Jjn1VwvlTxJ2Uzv8W7Y4ClFliyTfJC-ENLvV5wQuJs9LbBNTCCse04cPbc-u4w!!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3EC6B-8D32-41FF-BEA5-759FEB5C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6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MP MDV SR</vt:lpstr>
    </vt:vector>
  </TitlesOfParts>
  <Company/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MDV SR</dc:title>
  <dc:subject/>
  <dc:creator>Preťo, Anton</dc:creator>
  <cp:keywords/>
  <dc:description/>
  <cp:lastModifiedBy>Preťo, Anton</cp:lastModifiedBy>
  <cp:revision>80</cp:revision>
  <cp:lastPrinted>2022-07-12T11:39:00Z</cp:lastPrinted>
  <dcterms:created xsi:type="dcterms:W3CDTF">2022-07-07T13:59:00Z</dcterms:created>
  <dcterms:modified xsi:type="dcterms:W3CDTF">2022-09-19T08:30:00Z</dcterms:modified>
</cp:coreProperties>
</file>