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B03A" w14:textId="3A44D1A2" w:rsidR="00CC6583" w:rsidRPr="00A46D24" w:rsidRDefault="009D603A" w:rsidP="00CC6583">
      <w:pPr>
        <w:pStyle w:val="Default"/>
        <w:jc w:val="center"/>
        <w:rPr>
          <w:b/>
          <w:bCs/>
          <w:color w:val="000000" w:themeColor="text1"/>
        </w:rPr>
      </w:pPr>
      <w:r w:rsidRPr="00A46D24">
        <w:rPr>
          <w:b/>
          <w:bCs/>
          <w:color w:val="000000" w:themeColor="text1"/>
        </w:rPr>
        <w:t xml:space="preserve">Metodický pokyn </w:t>
      </w:r>
      <w:r w:rsidR="00506787" w:rsidRPr="00A46D24">
        <w:rPr>
          <w:b/>
          <w:bCs/>
          <w:color w:val="000000" w:themeColor="text1"/>
        </w:rPr>
        <w:t xml:space="preserve">Ministerstva dopravy Slovenskej </w:t>
      </w:r>
      <w:r w:rsidR="00506787" w:rsidRPr="005D68A5">
        <w:rPr>
          <w:b/>
          <w:bCs/>
          <w:color w:val="000000" w:themeColor="text1"/>
        </w:rPr>
        <w:t xml:space="preserve">republiky </w:t>
      </w:r>
      <w:r w:rsidRPr="005D68A5">
        <w:rPr>
          <w:b/>
          <w:bCs/>
          <w:color w:val="000000" w:themeColor="text1"/>
        </w:rPr>
        <w:t xml:space="preserve">č. </w:t>
      </w:r>
      <w:r w:rsidR="00656507" w:rsidRPr="005D68A5">
        <w:rPr>
          <w:b/>
          <w:bCs/>
          <w:color w:val="000000" w:themeColor="text1"/>
        </w:rPr>
        <w:t>1</w:t>
      </w:r>
      <w:r w:rsidR="00333A89" w:rsidRPr="005D68A5">
        <w:rPr>
          <w:b/>
          <w:bCs/>
          <w:color w:val="000000" w:themeColor="text1"/>
        </w:rPr>
        <w:t>/202</w:t>
      </w:r>
      <w:r w:rsidR="00AC4A32" w:rsidRPr="005D68A5">
        <w:rPr>
          <w:b/>
          <w:bCs/>
          <w:color w:val="000000" w:themeColor="text1"/>
        </w:rPr>
        <w:t>3</w:t>
      </w:r>
      <w:r w:rsidRPr="00A46D24">
        <w:rPr>
          <w:b/>
          <w:bCs/>
          <w:color w:val="000000" w:themeColor="text1"/>
        </w:rPr>
        <w:t xml:space="preserve">, </w:t>
      </w:r>
      <w:r w:rsidRPr="00A46D24">
        <w:rPr>
          <w:b/>
          <w:bCs/>
          <w:color w:val="000000" w:themeColor="text1"/>
        </w:rPr>
        <w:br/>
        <w:t xml:space="preserve">ktorým sa stanovuje mechanizmus úpravy ceny v dôsledku zmien nákladov pri projektoch </w:t>
      </w:r>
      <w:r w:rsidR="00506787" w:rsidRPr="00A46D24">
        <w:rPr>
          <w:b/>
          <w:bCs/>
          <w:color w:val="000000" w:themeColor="text1"/>
        </w:rPr>
        <w:t>modernizácie a </w:t>
      </w:r>
      <w:proofErr w:type="spellStart"/>
      <w:r w:rsidR="00506787" w:rsidRPr="00A46D24">
        <w:rPr>
          <w:b/>
          <w:bCs/>
          <w:color w:val="000000" w:themeColor="text1"/>
        </w:rPr>
        <w:t>novovýrobe</w:t>
      </w:r>
      <w:proofErr w:type="spellEnd"/>
      <w:r w:rsidR="00506787" w:rsidRPr="00A46D24">
        <w:rPr>
          <w:b/>
          <w:bCs/>
          <w:color w:val="000000" w:themeColor="text1"/>
        </w:rPr>
        <w:t xml:space="preserve"> </w:t>
      </w:r>
      <w:r w:rsidR="00AC4A32" w:rsidRPr="00A46D24">
        <w:rPr>
          <w:b/>
          <w:bCs/>
          <w:color w:val="000000" w:themeColor="text1"/>
        </w:rPr>
        <w:t>dráhových</w:t>
      </w:r>
      <w:r w:rsidR="00506787" w:rsidRPr="00A46D24">
        <w:rPr>
          <w:b/>
          <w:bCs/>
          <w:color w:val="000000" w:themeColor="text1"/>
        </w:rPr>
        <w:t xml:space="preserve"> vozidiel </w:t>
      </w:r>
      <w:r w:rsidRPr="00A46D24">
        <w:rPr>
          <w:b/>
          <w:bCs/>
          <w:color w:val="000000" w:themeColor="text1"/>
        </w:rPr>
        <w:t>– zmena zmluvy, rámcovej dohody a koncesnej zmluvy počas jej trvania</w:t>
      </w:r>
    </w:p>
    <w:p w14:paraId="77FC7B81" w14:textId="77777777" w:rsidR="00163936" w:rsidRPr="00A46D24" w:rsidRDefault="00163936" w:rsidP="00CC6583">
      <w:pPr>
        <w:pStyle w:val="Default"/>
        <w:jc w:val="center"/>
        <w:rPr>
          <w:color w:val="000000" w:themeColor="text1"/>
        </w:rPr>
      </w:pPr>
    </w:p>
    <w:p w14:paraId="2C1B0D49" w14:textId="53007F1E" w:rsidR="00CC6583" w:rsidRPr="00A46D24" w:rsidRDefault="00CC6583" w:rsidP="00032CAD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A46D24">
        <w:rPr>
          <w:b/>
          <w:bCs/>
          <w:color w:val="000000" w:themeColor="text1"/>
        </w:rPr>
        <w:t>Článok 1</w:t>
      </w:r>
      <w:bookmarkStart w:id="0" w:name="_GoBack"/>
      <w:bookmarkEnd w:id="0"/>
    </w:p>
    <w:p w14:paraId="24D96218" w14:textId="03D80926" w:rsidR="00CC6583" w:rsidRPr="00A46D24" w:rsidRDefault="0057118B" w:rsidP="00506787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color w:val="000000" w:themeColor="text1"/>
          <w:lang w:eastAsia="sk-SK"/>
        </w:rPr>
      </w:pPr>
      <w:r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Ministerstvo dopravy Slovenskej republiky (ďalej len „ministerstvo“) vydáva tento metodický pokyn s cieľom stanoviť transparentný mechanizmus úpravy cien v rámci zmluvných podmienok pri projektoch </w:t>
      </w:r>
      <w:r w:rsidR="00506787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modernizácie a </w:t>
      </w:r>
      <w:proofErr w:type="spellStart"/>
      <w:r w:rsidR="00506787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novovýrob</w:t>
      </w:r>
      <w:r w:rsidR="00AC15B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y</w:t>
      </w:r>
      <w:proofErr w:type="spellEnd"/>
      <w:r w:rsidR="00506787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AC4A32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dráhových</w:t>
      </w:r>
      <w:r w:rsidR="00506787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vozidiel</w:t>
      </w:r>
      <w:r w:rsidR="00506787" w:rsidRPr="00A46D24">
        <w:rPr>
          <w:rStyle w:val="Odkaznapoznmkupodiarou"/>
          <w:rFonts w:ascii="Times New Roman" w:hAnsi="Times New Roman"/>
          <w:color w:val="000000" w:themeColor="text1"/>
          <w:sz w:val="24"/>
          <w:szCs w:val="24"/>
          <w:lang w:eastAsia="sk-SK"/>
        </w:rPr>
        <w:footnoteReference w:id="1"/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, zákaziek, ktoré boli zadané podľa zákona č. 343/2015 Z. z. o verejnom obstarávaní a o zmene a doplnení niektorých zákonov v znení neskorších predpisov, </w:t>
      </w:r>
      <w:r w:rsidR="00BF4CD2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(ďalej „ZVO“) alebo sú obstarávané podľa interných predpisov verejných obstarávateľov a obstarávateľov v súlade so ZVO, </w:t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 ktorých </w:t>
      </w:r>
      <w:r w:rsidR="002F641A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už</w:t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uplynula </w:t>
      </w:r>
      <w:r w:rsidR="00FA0605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lehota na predkladanie ponúk, </w:t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 prípade verejných ob</w:t>
      </w:r>
      <w:r w:rsidR="002F641A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starávaní (ďalej len „súťaž“), </w:t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ktoré </w:t>
      </w:r>
      <w:r w:rsidR="002F641A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už boli </w:t>
      </w:r>
      <w:r w:rsidR="00002971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vyhlásené</w:t>
      </w:r>
      <w:r w:rsidR="00FA0605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v prípade verejných obstarávaní, pri ktorých už došlo k podpisu zmluvy s</w:t>
      </w:r>
      <w:r w:rsidR="00747BA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dodávateľom </w:t>
      </w:r>
      <w:r w:rsidR="00E91FA8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zákazky</w:t>
      </w:r>
      <w:r w:rsidR="00CC6583" w:rsidRPr="00A46D2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4294EB84" w14:textId="254875F2" w:rsidR="00CC6583" w:rsidRPr="00A46D24" w:rsidRDefault="0057118B" w:rsidP="00BF4CD2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color w:val="000000" w:themeColor="text1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02971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Metodický pokyn</w:t>
      </w:r>
      <w:r w:rsidR="001D02A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určený </w:t>
      </w:r>
      <w:r w:rsidR="0000297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organizačným útvarom Úradu, ktorým je ministerstvo </w:t>
      </w:r>
      <w:r w:rsidR="00A244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0297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a právnickým osobám v zakladateľskej a zriaďovateľskej pôsobnosti ministerstva (rozpočtové organizácie, obchodné spoločnosti s majetkovou účasťou štátu a štátne podnikateľské organizácie), ktoré sú financované úplne alebo čiastočne z verejných prostriedkov, a ktoré zabezpečujú</w:t>
      </w:r>
      <w:r w:rsidR="009B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realizáciu </w:t>
      </w:r>
      <w:r w:rsidR="002D3219" w:rsidRPr="00296B3F">
        <w:rPr>
          <w:rFonts w:ascii="Times New Roman" w:hAnsi="Times New Roman" w:cs="Times New Roman"/>
          <w:color w:val="000000" w:themeColor="text1"/>
          <w:sz w:val="24"/>
          <w:szCs w:val="24"/>
        </w:rPr>
        <w:t>projekto</w:t>
      </w:r>
      <w:r w:rsidR="002D321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3219" w:rsidRPr="0029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modernizácie </w:t>
      </w:r>
      <w:r w:rsidR="002D3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dráhových vozidiel ako aj </w:t>
      </w:r>
      <w:r w:rsidR="009B1563">
        <w:rPr>
          <w:rFonts w:ascii="Times New Roman" w:hAnsi="Times New Roman" w:cs="Times New Roman"/>
          <w:color w:val="000000" w:themeColor="text1"/>
          <w:sz w:val="24"/>
          <w:szCs w:val="24"/>
        </w:rPr>
        <w:t>obstarávanie</w:t>
      </w:r>
      <w:r w:rsidR="002D3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nových </w:t>
      </w:r>
      <w:r w:rsidR="002D3219" w:rsidRPr="00296B3F">
        <w:rPr>
          <w:rFonts w:ascii="Times New Roman" w:hAnsi="Times New Roman" w:cs="Times New Roman"/>
          <w:color w:val="000000" w:themeColor="text1"/>
          <w:sz w:val="24"/>
          <w:szCs w:val="24"/>
        </w:rPr>
        <w:t>dráhových vozidiel</w:t>
      </w:r>
      <w:r w:rsidR="002D3219" w:rsidRPr="00A46D24">
        <w:rPr>
          <w:b/>
          <w:bCs/>
          <w:color w:val="000000" w:themeColor="text1"/>
        </w:rPr>
        <w:t xml:space="preserve"> </w:t>
      </w:r>
      <w:r w:rsidR="0000297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financovaných z verejných prostriedkov</w:t>
      </w:r>
      <w:r w:rsidR="00002971" w:rsidRPr="00A46D2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0297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1BF4A7" w14:textId="77777777" w:rsidR="00B04C18" w:rsidRPr="00A46D24" w:rsidRDefault="0057118B" w:rsidP="001D02A1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C5250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zmysle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A46D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„Všeobecného metodického usmernenia Úradu pre verejné obstarávanie </w:t>
      </w:r>
      <w:r w:rsidR="00737A52" w:rsidRPr="00A46D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br/>
      </w:r>
      <w:r w:rsidRPr="00A46D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k aplikácii §18 ods. 1 písm. c) zákona č. 343/2015 Z. z o verejnom obstarávaní a o zmene </w:t>
      </w:r>
      <w:r w:rsidR="00737A52" w:rsidRPr="00A46D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br/>
      </w:r>
      <w:r w:rsidRPr="00A46D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>a doplnení niektorých zákonov</w:t>
      </w:r>
      <w:r w:rsidR="00FA0605" w:rsidRPr="00A46D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>“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z mája 2022 </w:t>
      </w:r>
      <w:r w:rsidR="00FA0605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č. 6/2022 </w:t>
      </w:r>
      <w:r w:rsidR="00CE5F4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má </w:t>
      </w:r>
      <w:r w:rsidR="002C5250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</w:t>
      </w:r>
      <w:r w:rsidR="00CE5F4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etodický pokyn </w:t>
      </w:r>
      <w:r w:rsidR="002C5250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ministerstva </w:t>
      </w:r>
      <w:r w:rsidR="00737A52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2C5250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</w:t>
      </w:r>
      <w:r w:rsidR="002C5250" w:rsidRPr="005D68A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="00656507" w:rsidRPr="005D68A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1</w:t>
      </w:r>
      <w:r w:rsidR="002C5250" w:rsidRPr="005D68A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/202</w:t>
      </w:r>
      <w:r w:rsidR="00AC4A32" w:rsidRPr="005D68A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3</w:t>
      </w:r>
      <w:r w:rsidR="002C5250" w:rsidRPr="005D68A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E5F4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za cieľ definovať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mechanizmus pre uplatňovanie nárokov </w:t>
      </w:r>
      <w:r w:rsidR="00747BA8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dodávateľov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E91FA8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zákaziek </w:t>
      </w:r>
      <w:r w:rsidR="00CE5F4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vzhľadom na nepredvídateľné nárasty </w:t>
      </w:r>
      <w:r w:rsidR="00463F40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cien 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výrobných </w:t>
      </w:r>
      <w:r w:rsidR="00CE5F4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materiálov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tak, aby bola splnená podmienka preukázania príčinnej súvislosti medzi skokovým nepredvídateľným nárastom vybraných 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výrobných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materiálov spôsobeným pandémiou COVID-19 a vojnou Ruskej federácie na území Ukrajiny.</w:t>
      </w:r>
    </w:p>
    <w:p w14:paraId="5985925E" w14:textId="77777777" w:rsidR="00C35935" w:rsidRPr="00A46D24" w:rsidRDefault="00C35935" w:rsidP="002552A2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8A1C45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Metodický pokyn, vzhľadom na to, že rozdelenie materiálovej zložky zákazky na konkrétne samostatné materiály je veľmi náročné až </w:t>
      </w:r>
      <w:r w:rsidR="0032417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prakticky nerealizovateľné</w:t>
      </w:r>
      <w:r w:rsidR="008A1C45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, odkazujúc sa na bod E.7</w:t>
      </w:r>
      <w:r w:rsidR="008A1C45" w:rsidRPr="00A46D2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footnoteReference w:id="3"/>
      </w:r>
      <w:r w:rsidR="008A1C45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Všeobecného metodického usmernenia Úradu pre verejné obstarávanie k aplikácii §18 ods. 1 písm. c) zákona č. 343/2015 Z. z o verejnom obstarávaní a o zmene a doplnení niektorých zákonov, používa na výpočet </w:t>
      </w:r>
      <w:r w:rsidR="008D6928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objektivizovaný ekonomický ukazovateľ Štatistického úradu SR sledujúci vývoj cien priemyselných výrobcov. Tento ukazovateľ je priemerným a zástupným ukazovateľom vývoja výrobných cien materiálovej zložky zákazky.</w:t>
      </w:r>
    </w:p>
    <w:p w14:paraId="52C4465F" w14:textId="77777777" w:rsidR="002552A2" w:rsidRDefault="002552A2" w:rsidP="002552A2">
      <w:pPr>
        <w:pStyle w:val="Default"/>
        <w:spacing w:after="160"/>
        <w:jc w:val="center"/>
        <w:rPr>
          <w:b/>
          <w:bCs/>
          <w:color w:val="000000" w:themeColor="text1"/>
        </w:rPr>
      </w:pPr>
    </w:p>
    <w:p w14:paraId="744D08F8" w14:textId="6F70BB09" w:rsidR="00FE79C0" w:rsidRPr="00A46D24" w:rsidRDefault="00FE79C0" w:rsidP="00032CAD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A46D24">
        <w:rPr>
          <w:b/>
          <w:bCs/>
          <w:color w:val="000000" w:themeColor="text1"/>
        </w:rPr>
        <w:t xml:space="preserve">Článok </w:t>
      </w:r>
      <w:r w:rsidR="00CC6583" w:rsidRPr="00A46D24">
        <w:rPr>
          <w:b/>
          <w:bCs/>
          <w:color w:val="000000" w:themeColor="text1"/>
        </w:rPr>
        <w:t>2</w:t>
      </w:r>
    </w:p>
    <w:p w14:paraId="4A5E16B7" w14:textId="15D97669" w:rsidR="000E136B" w:rsidRPr="00A46D24" w:rsidRDefault="0057118B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Metodický pokyn a mechanizmus úpravy ceny sú 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verejní o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bstarávatelia a obstarávatelia 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(ďalej len „obstarávateľ“)</w:t>
      </w:r>
      <w:r w:rsidR="000E136B" w:rsidRPr="00A46D2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footnoteReference w:id="4"/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povinní uplatňovať 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výpočet hodnoty dodatku 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zmluvy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navýšení a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nárokov) 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dôsledku 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vopred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nepredvídateľných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zmien nákladov </w:t>
      </w:r>
      <w:r w:rsidR="00737A52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</w:t>
      </w:r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výrobné </w:t>
      </w:r>
      <w:r w:rsidR="00FA0605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materiály 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(ďalej len „mechanizmus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výpočtu 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navýšenia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“) pri všetkých </w:t>
      </w:r>
      <w:r w:rsidR="009B1563" w:rsidRPr="00BB0D22">
        <w:rPr>
          <w:rFonts w:ascii="Times New Roman" w:hAnsi="Times New Roman" w:cs="Times New Roman"/>
          <w:color w:val="000000" w:themeColor="text1"/>
          <w:sz w:val="24"/>
          <w:szCs w:val="24"/>
        </w:rPr>
        <w:t>projekto</w:t>
      </w:r>
      <w:r w:rsidR="009B1563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9B1563" w:rsidRPr="00BB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modernizácie </w:t>
      </w:r>
      <w:r w:rsidR="009B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dráhových vozidiel a 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obstar</w:t>
      </w:r>
      <w:r w:rsidR="009B156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áv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aných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102758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nových 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dráhových vozidlách</w:t>
      </w:r>
      <w:r w:rsidR="000E136B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zmysle Článku 1, ods. 1. </w:t>
      </w:r>
    </w:p>
    <w:p w14:paraId="169A57CE" w14:textId="77777777" w:rsidR="00014970" w:rsidRPr="00A46D24" w:rsidRDefault="0057118B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Metodický pokyn a z neho vychádzajúci mechanizmus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</w:t>
      </w:r>
      <w:r w:rsidR="001A550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3 časové obdobia</w:t>
      </w:r>
      <w:r w:rsidR="006204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67C5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272DD6" w14:textId="77777777" w:rsidR="00014970" w:rsidRPr="00A46D24" w:rsidRDefault="00BA3AC4" w:rsidP="00B56DF6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referenčným 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dlhodobým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obdobím (označené 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0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je </w:t>
      </w:r>
      <w:r w:rsidR="002F641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časový úsek od 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januára 200</w:t>
      </w:r>
      <w:r w:rsidR="00C4419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decembra 2020;</w:t>
      </w:r>
    </w:p>
    <w:p w14:paraId="0C1646D5" w14:textId="77777777" w:rsidR="00067C5F" w:rsidRPr="00C5689B" w:rsidRDefault="00F52B2F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s výrazným vplyvom pandémie COVID-19 </w:t>
      </w:r>
      <w:r w:rsidR="00F71AA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následných </w:t>
      </w:r>
      <w:r w:rsidR="00D1188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celosvetových </w:t>
      </w:r>
      <w:r w:rsidR="00F71AA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narušení výroby a dodávateľsko-odberateľských </w:t>
      </w:r>
      <w:r w:rsidR="00D1188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reťazcov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14611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materiálové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</w:t>
      </w:r>
      <w:r w:rsidR="00747BA8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dodávateľov zákaziek</w:t>
      </w: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časový úsek od januára 2021 do decembra 2021</w:t>
      </w:r>
      <w:r w:rsidR="00520C4D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(označené </w:t>
      </w:r>
      <w:r w:rsidR="001A550A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0C4D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520C4D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DA815EC" w14:textId="0E780AA8" w:rsidR="001A3DC0" w:rsidRPr="00C5689B" w:rsidRDefault="00F52B2F" w:rsidP="00B56DF6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s výrazným vplyvom </w:t>
      </w:r>
      <w:r w:rsidR="00511FFC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eskalácie napätia a následnej </w:t>
      </w: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vojny Ruskej federácie na území Ukrajiny na </w:t>
      </w:r>
      <w:r w:rsidR="00146113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materiálové </w:t>
      </w: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</w:t>
      </w:r>
      <w:r w:rsidR="00747BA8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dodávateľov zákaziek</w:t>
      </w: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časový úsek od januára 2022 do </w:t>
      </w:r>
      <w:r w:rsidR="00146113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ukončenia vojny Ruskej federácie na území Ukrajiny</w:t>
      </w:r>
      <w:r w:rsidR="00B24F68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jej vplyvov</w:t>
      </w:r>
      <w:r w:rsidR="00146113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(označené 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>“).</w:t>
      </w:r>
      <w:r w:rsidR="007846DA" w:rsidRPr="00C5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5DCF95" w14:textId="77777777" w:rsidR="001A3DC0" w:rsidRPr="00A46D24" w:rsidRDefault="001A3DC0" w:rsidP="00B56DF6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aplikáciu mechanizmu úpravy ceny je rozhodujúcim obdobím kvartál, pričom:</w:t>
      </w:r>
    </w:p>
    <w:p w14:paraId="5DF16097" w14:textId="1B215198" w:rsidR="001A3DC0" w:rsidRPr="00A46D24" w:rsidRDefault="001A3DC0" w:rsidP="00B04C18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referenčným kvartálom (označené ako kvartál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“) je kvartál</w:t>
      </w:r>
      <w:r w:rsidR="002F7F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ktorého spadá kalendárny deň, v ktorý uplynula lehota na predkladanie ponúk do súťaže </w:t>
      </w:r>
      <w:r w:rsidR="00737A5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modernizáci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novovýrob</w:t>
      </w:r>
      <w:r w:rsidR="006B1FE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dráhových </w:t>
      </w:r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vozidiel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0137C6A" w14:textId="193ED91F" w:rsidR="001A3DC0" w:rsidRPr="00A46D24" w:rsidRDefault="001A3DC0" w:rsidP="00B56DF6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rozhodujúcim kvartálom (označené ako kvartál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“) je kvartál, v ktorom prebiehal</w:t>
      </w:r>
      <w:r w:rsidR="007E687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87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zhotovovanie/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realizácia </w:t>
      </w:r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modernizácie a </w:t>
      </w:r>
      <w:proofErr w:type="spellStart"/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novovýrob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proofErr w:type="spellEnd"/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A3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dráhových</w:t>
      </w:r>
      <w:r w:rsidR="00B04C1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vozidiel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D0F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za ktorý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r w:rsidR="00747BA8"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FA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zákazky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uplatňuje mechanizmus úpravy ceny</w:t>
      </w:r>
      <w:r w:rsidR="004D0F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98B623" w14:textId="2BCAB279" w:rsidR="004D0F5D" w:rsidRPr="00A46D24" w:rsidRDefault="004D0F5D" w:rsidP="00B24F68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obdobím na výpočet očakávaného rizika (označené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737A5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</w:t>
      </w:r>
      <w:r w:rsidR="00AA0BB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vývoja </w:t>
      </w:r>
      <w:r w:rsidR="006B1FE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výrobných cien priemyselnej výroby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6B1FE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“), teda materiálovej zložky zákazky,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obdobie </w:t>
      </w:r>
      <w:r w:rsidR="0079376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rokov predchádzajúce referenčnému kvartálu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  <w:r w:rsidR="00B24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904F6E" w14:textId="77777777" w:rsidR="00F52B2F" w:rsidRPr="00A46D24" w:rsidRDefault="0057118B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BA8">
        <w:rPr>
          <w:rFonts w:ascii="Times New Roman" w:hAnsi="Times New Roman" w:cs="Times New Roman"/>
          <w:color w:val="000000" w:themeColor="text1"/>
          <w:sz w:val="24"/>
          <w:szCs w:val="24"/>
        </w:rPr>
        <w:t>Dodávateľ zákazky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môže uplatniť mechanizmus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463F40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(výpočet hodnoty dodatku) 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1FF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v </w:t>
      </w:r>
      <w:r w:rsidR="00FA0605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FA060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0605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1FF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v </w:t>
      </w:r>
      <w:r w:rsidR="00FA0605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FA060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“, 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súčasne za </w:t>
      </w:r>
      <w:r w:rsidR="00511FF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v </w:t>
      </w:r>
      <w:r w:rsidR="00D7410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D7410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7410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7410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52B2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611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Vzhľadom na to, že </w:t>
      </w:r>
      <w:r w:rsidR="00D7410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7410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14611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je </w:t>
      </w:r>
      <w:r w:rsidR="00262ED2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 čase vydávania tohto metodického pokynu </w:t>
      </w:r>
      <w:r w:rsidR="00900E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prebiehajúce a neukončené</w:t>
      </w:r>
      <w:r w:rsidR="0014611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747B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dodávateľ zákazky</w:t>
      </w:r>
      <w:r w:rsidR="0014611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si za dané obdobie môže za realizáciu v danom období uplatniť viaceré žiadosti </w:t>
      </w:r>
      <w:r w:rsidR="00B90AB1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 mechanizmom výpočtu </w:t>
      </w:r>
      <w:r w:rsidR="00646DC6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navýšenia</w:t>
      </w:r>
      <w:r w:rsidR="00B90AB1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00E35" w:rsidRPr="00A46D2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 dôsledku vopred nepredvídateľných zmien nákladov</w:t>
      </w:r>
      <w:r w:rsidR="0014611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A440C53" w14:textId="77777777" w:rsidR="005912E7" w:rsidRPr="00A46D24" w:rsidRDefault="0057118B" w:rsidP="005912E7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463F40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chanizmus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463F40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</w:t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výpočet objektivizovaný ekonomický ukazovateľ Štatistického úradu SR sledujúci priemerný vývoj cien prislúchajúcich priemyselných výrob </w:t>
      </w:r>
      <w:r w:rsidR="00940B9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podľa členenia SK NACE Rev. 2</w:t>
      </w:r>
      <w:r w:rsidR="00940B92" w:rsidRPr="00A46D2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. Tento ukazovateľ je priemerným a zástupným ukazovateľom vývoja výrobných cien materiálovej zložky zákazky</w:t>
      </w:r>
      <w:r w:rsidR="00520C4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87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výpočtu </w:t>
      </w:r>
      <w:r w:rsidR="007E687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mechanizmu navýšenia vstupujú</w:t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kvartálne hodnoty indexov ukazovateľa „</w:t>
      </w:r>
      <w:r w:rsidR="005912E7" w:rsidRPr="00A46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Indexy cien priemyselných výrobcov podľa SK NACE Rev. 2 (2015=100) - spolu - štvrťročne [sp2058qs]</w:t>
      </w:r>
      <w:r w:rsidR="005912E7" w:rsidRPr="00A46D2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 a konkrétne hodnoty odvetvia „</w:t>
      </w:r>
      <w:r w:rsidR="005912E7" w:rsidRPr="00A46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 Priemyselná výroba</w:t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A8041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(ďalej len „ukazovateľ“) </w:t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k časovému obdobiu „</w:t>
      </w:r>
      <w:r w:rsidR="005912E7" w:rsidRPr="00A46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december 2015=100</w:t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C763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označeného ako </w:t>
      </w:r>
      <w:r w:rsidR="000C76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0C76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“, </w:t>
      </w:r>
      <w:r w:rsidR="007E687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ktoré sú dostupné na webovej stránke Štatistického úradu SR</w:t>
      </w:r>
      <w:r w:rsidR="005912E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998C12" w14:textId="532713F1" w:rsidR="00750918" w:rsidRPr="00A46D24" w:rsidRDefault="00750918" w:rsidP="001B4236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možnosť výpočtu navýšenia je potrebné definovať</w:t>
      </w:r>
      <w:r w:rsidR="0012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vypočítať (v EUR) </w:t>
      </w:r>
      <w:r w:rsidR="0012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predložiť a zdokladovať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materiálovú zložku konkrétneho dráhového vozidla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</w:t>
      </w:r>
      <w:r w:rsidR="00125A82">
        <w:rPr>
          <w:rFonts w:ascii="Times New Roman" w:hAnsi="Times New Roman" w:cs="Times New Roman"/>
          <w:color w:val="000000" w:themeColor="text1"/>
          <w:sz w:val="24"/>
          <w:szCs w:val="24"/>
        </w:rPr>
        <w:t>plánu výroby</w:t>
      </w:r>
      <w:r w:rsidR="00D8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A8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vymedzen</w:t>
      </w:r>
      <w:r w:rsidR="00125A82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125A82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podstatnými dodacími a kvalitatívnymi podmienkami platnosti ceny</w:t>
      </w:r>
      <w:r w:rsidR="00155E6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hodnotovom vyjadrení času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155E6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0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Zásadne je nutné zabudovanie týchto materiálov v dráhovom vozidle podľa platnej dokumentácie. Na účely metodickéh</w:t>
      </w:r>
      <w:r w:rsidR="00C22E0D">
        <w:rPr>
          <w:rFonts w:ascii="Times New Roman" w:hAnsi="Times New Roman" w:cs="Times New Roman"/>
          <w:color w:val="000000" w:themeColor="text1"/>
          <w:sz w:val="24"/>
          <w:szCs w:val="24"/>
        </w:rPr>
        <w:t>o pokynu je potrebné vypočítať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stanoviť 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zdokladovať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materiálovú zložku konkrétneho dráhového vozidla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 obdobiach:</w:t>
      </w:r>
    </w:p>
    <w:p w14:paraId="109F3FB2" w14:textId="1E783E4C" w:rsidR="00750918" w:rsidRPr="00A46D24" w:rsidRDefault="00750918" w:rsidP="00750918">
      <w:pPr>
        <w:pStyle w:val="Odsekzoznamu"/>
        <w:numPr>
          <w:ilvl w:val="1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tzn. hodnotu materiálovej </w:t>
      </w:r>
      <w:r w:rsidR="005632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zložky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 EUR)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v období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(kvartáli)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podávania ponuky do súťaže označenú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2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základe cenovej kalkulácie je potrebné predložiť a zdokladovať celkový podiel a hodnotu materiálovej zložky z jednotkovej ceny dráhového vozidla </w:t>
      </w:r>
      <w:r w:rsidR="00D8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období </w:t>
      </w:r>
      <w:r w:rsidR="00D8339A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D8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C2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rozdeliť danú hodnotu na sumy podľa plánu výroby do jednotlivých nasledujúcich kvartálov, tzn. do období </w:t>
      </w:r>
      <w:r w:rsidR="00C22E0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C22E0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56D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5B4922" w14:textId="10A30F97" w:rsidR="00750918" w:rsidRPr="00A46D24" w:rsidRDefault="00750918" w:rsidP="00750918">
      <w:pPr>
        <w:pStyle w:val="Odsekzoznamu"/>
        <w:numPr>
          <w:ilvl w:val="1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tzn. hodnotu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zabudovanej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materiálovej </w:t>
      </w:r>
      <w:r w:rsidR="005632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zložky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(v EUR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časť hodnoty </w:t>
      </w:r>
      <w:r w:rsidR="00AD356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AD356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v období </w:t>
      </w:r>
      <w:r w:rsidR="001B423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(kvartáli) zabudovávania do dráhového vozidla</w:t>
      </w:r>
      <w:r w:rsidR="00155E6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vyjadrenú v hodnote času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155E6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označenú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Materiálovú zložku </w:t>
      </w:r>
      <w:r w:rsidR="00AD356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D356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>, tzn. jednotlivé sumy zabudovaných materiálových častí je na základe plánu výroby potrebné zdokladovať dodávateľskými faktúrami, resp. výdajovými listmi zo skladu</w:t>
      </w:r>
      <w:r w:rsidR="000D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inými dokladmi preukazujúcimi zabudovanie do dráhového vozidla</w:t>
      </w:r>
      <w:r w:rsidR="00AD3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EAEF64" w14:textId="77777777" w:rsidR="00065CDC" w:rsidRPr="00A46D24" w:rsidRDefault="00D7410C" w:rsidP="0045125E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Výslednú hodnotu navýšenia </w:t>
      </w:r>
      <w:r w:rsidR="00153D8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medzi obdobiami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153D8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 a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153D8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mechanizmu </w:t>
      </w:r>
      <w:r w:rsidR="00646DC6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153D8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možné vypočítať ako súčet navýšení </w:t>
      </w:r>
      <w:r w:rsidR="007E687F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za počítané obdobia a konkrétne dráhové vozidlá nasledovne</w:t>
      </w:r>
      <w:r w:rsidR="00065CD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EEBB9A" w14:textId="77777777" w:rsidR="00DD4E9D" w:rsidRPr="00A46D24" w:rsidRDefault="003C58CB" w:rsidP="00B776A2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65CD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ýsledná hodnota násobiteľa úpravy (koeficient zmeny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7E687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065CD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7E687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pre jedno konkrétne dráhové vozidlo </w:t>
      </w:r>
      <w:r w:rsidR="00065CD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 vypočítaná ako </w:t>
      </w:r>
      <w:r w:rsidR="00CB375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podiel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hodnoty indexu za kvartál </w:t>
      </w:r>
      <w:r w:rsidR="00CB375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CB375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CB375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hodnoty</w:t>
      </w:r>
      <w:r w:rsidR="00CB375F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indexu za kvartál v čase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539FC87A" w14:textId="77777777" w:rsidR="00DD4E9D" w:rsidRPr="00A46D24" w:rsidRDefault="00CB375F" w:rsidP="00DD4E9D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Od vypočítaného podielu sa odpočíta </w:t>
      </w:r>
      <w:r w:rsidR="00525A6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priemerné medziročné tempo rastu hodnoty </w:t>
      </w:r>
      <w:r w:rsidR="00A77BB0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kvartálnych</w:t>
      </w:r>
      <w:r w:rsidR="00525A6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indexov </w:t>
      </w:r>
      <w:r w:rsidR="005B67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pv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5B67A8" w:rsidRPr="005B67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5B67A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687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ukazovateľa </w:t>
      </w:r>
      <w:r w:rsidR="00B3358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priemyselnej výroby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B3358F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525A6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</w:t>
      </w:r>
      <w:r w:rsidR="00525A6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525A6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9376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5B67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Ak je hodnota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pv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5B67A8" w:rsidRPr="005B67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5B67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nižšia ako číslo 0, použije sa hodnota 0.</w:t>
      </w:r>
    </w:p>
    <w:p w14:paraId="33DADFBD" w14:textId="51C5FF87" w:rsidR="00065CDC" w:rsidRPr="00A46D24" w:rsidRDefault="00CB375F" w:rsidP="00DD4E9D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Navýšenie za </w:t>
      </w:r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materiálovú zložku konkrétneho dráhového vozidla</w:t>
      </w:r>
      <w:r w:rsidR="009E74E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“) je vypočítan</w:t>
      </w:r>
      <w:r w:rsidR="00A926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é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ako </w:t>
      </w:r>
      <w:r w:rsidR="00A926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násobok </w:t>
      </w:r>
      <w:r w:rsidR="005F783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násobiteľa úpravy (koeficientu zmeny)</w:t>
      </w:r>
      <w:r w:rsidR="00A926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A926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 materiálovej zložky (v EUR</w:t>
      </w:r>
      <w:r w:rsidR="00B4134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B4134B" w:rsidRPr="00B41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časť hodnoty </w:t>
      </w:r>
      <w:r w:rsidR="00B4134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B4134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konkrétneho dráhového vozidla</w:t>
      </w:r>
      <w:r w:rsidR="009E74EE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2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 období (kvartáli) zabudovávania do dráhového vozidla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5632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6112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F6112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A926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od ktorého je následne</w:t>
      </w:r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odpočítaná</w:t>
      </w:r>
      <w:r w:rsidR="00A926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rovnaká materiálová zložka (v EUR) konkrétneho dráhového vozidla</w:t>
      </w:r>
      <w:r w:rsidR="005632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období (kvartáli) zabudovávania do dráhového vozidla („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56325D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56325D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6112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EC63351" w14:textId="77777777" w:rsidR="00DB2FEC" w:rsidRPr="00A46D24" w:rsidRDefault="00DB2FEC" w:rsidP="005924EA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V prípade výpočtu navýšenia za viaceré rozhodujúce obdobia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 je navýšenie konkrétneho dráhového vozidla za jednotlivé žiadané a počítané kvartály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vypočítané ako súčet navýšenia materiálovej zložky konkrétneho dráhového vozidla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v obdobiach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44ABAC94" w14:textId="77777777" w:rsidR="00DB2FEC" w:rsidRPr="00A46D24" w:rsidRDefault="000C5F51" w:rsidP="005924EA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Celkové navýšenie za všetky počítané </w:t>
      </w:r>
      <w:r w:rsidR="00DB2FE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dráhové vozidlá a obdobia </w:t>
      </w:r>
      <w:r w:rsidR="00DB2FE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DB2FE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 sú vypočítané ako súčet hodnôt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="00DB2FE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090870E0" w14:textId="77777777" w:rsidR="00EA4908" w:rsidRPr="00A46D24" w:rsidRDefault="0057118B" w:rsidP="005924EA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90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V prípade, že násobiteľ úpravy (koeficient zmeny</w:t>
      </w:r>
      <w:r w:rsidR="009438E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8E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9438E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A4908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pre </w:t>
      </w:r>
      <w:r w:rsidR="009438E3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 dráhové vozidlo </w:t>
      </w:r>
      <w:r w:rsidR="00EA490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dosahuje hodnoty nižšie ako </w:t>
      </w:r>
      <w:r w:rsidR="000C5F51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číslo </w:t>
      </w:r>
      <w:r w:rsidR="00EA490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1, použije sa vo výpočte hodnota pre </w:t>
      </w:r>
      <w:r w:rsidR="009438E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9438E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A4908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490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rovná číslu 1.</w:t>
      </w:r>
    </w:p>
    <w:p w14:paraId="23DF0350" w14:textId="77777777" w:rsidR="005924EA" w:rsidRPr="00A46D24" w:rsidRDefault="00793767" w:rsidP="00793767">
      <w:pPr>
        <w:pStyle w:val="Odsekzoznamu"/>
        <w:numPr>
          <w:ilvl w:val="0"/>
          <w:numId w:val="4"/>
        </w:numPr>
        <w:spacing w:before="160" w:line="240" w:lineRule="auto"/>
        <w:ind w:left="0" w:firstLine="284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924EA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Výsledný súhrnný nárok </w:t>
      </w:r>
      <w:r w:rsidR="00747BA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dodávateľa</w:t>
      </w:r>
      <w:r w:rsidR="005924EA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4351E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zákazky </w:t>
      </w:r>
      <w:r w:rsidR="00646DC6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a</w:t>
      </w:r>
      <w:r w:rsidR="000C5F5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 súhrnné </w:t>
      </w:r>
      <w:r w:rsidR="00646DC6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navýšenie </w:t>
      </w:r>
      <w:r w:rsidR="005924EA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má hodnotu:</w:t>
      </w:r>
    </w:p>
    <w:p w14:paraId="3D8EE7E8" w14:textId="77777777" w:rsidR="005924EA" w:rsidRPr="00A46D24" w:rsidRDefault="005924EA" w:rsidP="005924EA">
      <w:pPr>
        <w:pStyle w:val="Odsekzoznamu"/>
        <w:numPr>
          <w:ilvl w:val="0"/>
          <w:numId w:val="13"/>
        </w:numPr>
        <w:spacing w:before="16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 prípade, ak zmluva o realizácii </w:t>
      </w:r>
      <w:r w:rsidR="00367FA6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diela/zákazky </w:t>
      </w:r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už obsahuje </w:t>
      </w:r>
      <w:proofErr w:type="spellStart"/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indexačnú</w:t>
      </w:r>
      <w:proofErr w:type="spellEnd"/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časť (valorizáciu), výsledná hodnota navýšenia bude vypočítaná podľa tohto metodického pokynu a následne znížená o hodnotu indexácie (valorizácie) vyplývajúcu zo zmluvy o realizácii diela. </w:t>
      </w:r>
    </w:p>
    <w:p w14:paraId="2E6392F0" w14:textId="77777777" w:rsidR="005924EA" w:rsidRPr="00A46D24" w:rsidRDefault="005924EA" w:rsidP="005924EA">
      <w:pPr>
        <w:pStyle w:val="Odsekzoznamu"/>
        <w:numPr>
          <w:ilvl w:val="0"/>
          <w:numId w:val="13"/>
        </w:numPr>
        <w:spacing w:before="16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 prípade, ak zmluva o realizácii diela neobsahuje </w:t>
      </w:r>
      <w:proofErr w:type="spellStart"/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indexačnú</w:t>
      </w:r>
      <w:proofErr w:type="spellEnd"/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časť (valorizáciu), výsledná hodnota navýšenia je vypočítaná </w:t>
      </w:r>
      <w:r w:rsidR="0051122C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na základe nárastu </w:t>
      </w:r>
      <w:r w:rsidR="00367FA6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cenových nákladov </w:t>
      </w:r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podľa tohto metodického pokynu.</w:t>
      </w:r>
    </w:p>
    <w:p w14:paraId="3D08CAFE" w14:textId="77777777" w:rsidR="003304F9" w:rsidRPr="00A46D24" w:rsidRDefault="00793767" w:rsidP="00F12B27">
      <w:pPr>
        <w:pStyle w:val="Odsekzoznamu"/>
        <w:numPr>
          <w:ilvl w:val="0"/>
          <w:numId w:val="4"/>
        </w:numPr>
        <w:spacing w:before="16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4F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Vzorec pre výpočet </w:t>
      </w:r>
      <w:r w:rsidR="00B4351E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navýšenia </w:t>
      </w:r>
      <w:r w:rsidR="00F437B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67423C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násobiteľov</w:t>
      </w:r>
      <w:r w:rsidR="00F437B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úpravy </w:t>
      </w:r>
      <w:r w:rsidR="003304F9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je nasledovný:</w:t>
      </w:r>
    </w:p>
    <w:p w14:paraId="156048E5" w14:textId="2A88E71C" w:rsidR="00753C8E" w:rsidRDefault="00753C8E" w:rsidP="0045125E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6E76D" w14:textId="77777777" w:rsidR="00B4134B" w:rsidRPr="00A46D24" w:rsidRDefault="00B4134B" w:rsidP="0045125E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92BC5" w14:textId="77777777" w:rsidR="00101795" w:rsidRPr="00A46D24" w:rsidRDefault="00C65B6F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pv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pv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TR priem pv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riziko</m:t>
                  </m:r>
                </m:sub>
              </m:sSub>
            </m:sub>
          </m:sSub>
        </m:oMath>
      </m:oMathPara>
    </w:p>
    <w:p w14:paraId="0B70EF59" w14:textId="77777777" w:rsidR="00204D21" w:rsidRPr="00A46D24" w:rsidRDefault="00C65B6F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Navýšenie 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(P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MZ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)-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MZ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</m:sSub>
        </m:oMath>
      </m:oMathPara>
    </w:p>
    <w:p w14:paraId="069AE774" w14:textId="114A1EF6" w:rsidR="004B5000" w:rsidRDefault="004B5000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639272DF" w14:textId="77777777" w:rsidR="00B4134B" w:rsidRPr="00A46D24" w:rsidRDefault="00B4134B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7FADF081" w14:textId="77777777" w:rsidR="00843C79" w:rsidRPr="00A46D24" w:rsidRDefault="0050417A" w:rsidP="004B5000">
      <w:pPr>
        <w:spacing w:before="160" w:line="240" w:lineRule="auto"/>
        <w:ind w:left="1843" w:hanging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P=</m:t>
        </m:r>
      </m:oMath>
      <w:r w:rsidR="0076508A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súčet </w:t>
      </w:r>
      <w:r w:rsidR="004B5000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navýšení </w:t>
      </w:r>
      <w:r w:rsidR="004B5000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4B5000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4B5000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konkrétneho dráhového vozidla </w:t>
      </w:r>
      <w:r w:rsidR="004B5000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br/>
      </w:r>
      <w:r w:rsidR="0076508A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za </w:t>
      </w:r>
      <w:r w:rsidR="00542064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jednotlivé </w:t>
      </w:r>
      <w:r w:rsidR="004B5000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žiadané a počítané kvartály </w:t>
      </w:r>
      <w:r w:rsidR="004B5000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4B5000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EF07AE0" w14:textId="6BB6E222" w:rsidR="004B5000" w:rsidRDefault="004B5000" w:rsidP="004B5000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E1B06" w14:textId="77777777" w:rsidR="00B4134B" w:rsidRPr="00A46D24" w:rsidRDefault="00B4134B" w:rsidP="004B5000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6C082" w14:textId="77777777" w:rsidR="004B5000" w:rsidRPr="00A46D24" w:rsidRDefault="004B5000" w:rsidP="004B5000">
      <w:pPr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Celkové navýšenie </m:t>
        </m:r>
      </m:oMath>
      <w:r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= súčet hodnôt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za jednotlivé konkrétne dráhové vozidlá</w:t>
      </w:r>
    </w:p>
    <w:p w14:paraId="6A3432F6" w14:textId="794E6EB2" w:rsidR="00843C79" w:rsidRDefault="00843C79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1F82191" w14:textId="69C114E0" w:rsidR="00B24F68" w:rsidRDefault="00B24F6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 w:type="page"/>
      </w:r>
    </w:p>
    <w:p w14:paraId="6F93EB65" w14:textId="77777777" w:rsidR="00734F5E" w:rsidRPr="00A46D24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Kde:</w:t>
      </w:r>
    </w:p>
    <w:p w14:paraId="18BA6E57" w14:textId="77777777" w:rsidR="00101795" w:rsidRPr="00A46D24" w:rsidRDefault="00C65B6F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101795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179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101795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6942"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10179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násobiteľ úpravy (koeficient zmeny), ktorý bude použitý pre </w:t>
      </w:r>
      <w:r w:rsidR="007D26E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výpočet navýšenia za </w:t>
      </w:r>
      <w:r w:rsidR="00DE0B42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konkrétne dráhové vozidlo</w:t>
      </w:r>
      <w:r w:rsidR="00822D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42064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medzi obdobiami </w:t>
      </w:r>
      <w:r w:rsidR="00542064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542064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 a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542064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22D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0179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Hodnota násobiteľa úpravy sa zaokrúhľuje </w:t>
      </w:r>
      <w:r w:rsidR="00D20D4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matematicky </w:t>
      </w:r>
      <w:r w:rsidR="0010179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 3 desatinné </w:t>
      </w:r>
      <w:r w:rsidR="00D54E92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miesta</w:t>
      </w:r>
      <w:r w:rsidR="0010179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EA490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 prípade, ak je vypočítaná hodnota nižšia ako číslo 1, použije sa vo výpočte číslo 1.</w:t>
      </w:r>
    </w:p>
    <w:p w14:paraId="4327C1C4" w14:textId="77777777" w:rsidR="00822D33" w:rsidRPr="00A46D24" w:rsidRDefault="004E443B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822D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822D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hodnota </w:t>
      </w:r>
      <w:r w:rsidR="00542064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indexu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podľa Článku 2, ods. 5</w:t>
      </w:r>
      <w:r w:rsidR="00542064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za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prislúchajúci </w:t>
      </w:r>
      <w:r w:rsidR="00542064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Indexy vstupujúce do výpočtu majú povahu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kvartálnych 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indexov </w:t>
      </w:r>
      <w:r w:rsidR="007D26E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december 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20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065CD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=100.</w:t>
      </w:r>
    </w:p>
    <w:p w14:paraId="674164F3" w14:textId="77777777" w:rsidR="00753C8E" w:rsidRPr="00A46D24" w:rsidRDefault="00753C8E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 </w:t>
      </w:r>
      <w:r w:rsidR="004E443B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zabudovávania/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realizácie</w:t>
      </w:r>
      <w:r w:rsidR="004E443B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zákazky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rozhodujúci kvartál, kvartál v ktorom prebiehala realizácia </w:t>
      </w:r>
      <w:r w:rsidR="00E91FA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zákazky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za ktorý si </w:t>
      </w:r>
      <w:r w:rsidR="00747B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dodávateľ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91FA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zákazky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uplatňuje mechanizmus úpravy ceny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2CABBEE" w14:textId="77777777" w:rsidR="00753C8E" w:rsidRPr="00A46D24" w:rsidRDefault="00C65B6F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753C8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753C8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 podávania ponúk, referenčný kvartál, kvartál do ktorého spadá kalendárny deň, v ktorý uplynula lehota na predkladanie ponúk </w:t>
      </w:r>
      <w:r w:rsidR="001A550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do súťaže na zhotovenie </w:t>
      </w:r>
      <w:r w:rsidR="00B4652B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zákazky</w:t>
      </w:r>
      <w:r w:rsidR="00753C8E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46988AC1" w14:textId="77777777" w:rsidR="00822D33" w:rsidRPr="00A46D24" w:rsidRDefault="00C65B6F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822D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822D3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obdobie </w:t>
      </w:r>
      <w:r w:rsidR="001A550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rokov </w:t>
      </w:r>
      <w:r w:rsidR="00AE473C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späť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na výpočet tzv. očakávaného rizika, obdobím na výpočet očakávaného rizika na základe </w:t>
      </w:r>
      <w:r w:rsidR="00AA0BB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vývoja 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ceny </w:t>
      </w:r>
      <w:r w:rsidR="004E443B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ukazovateľa podľa Článku 2, ods. 5 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 obdobie </w:t>
      </w:r>
      <w:r w:rsidR="001A550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rokov predchádzajúce referenčnému kvartálu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D406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900E35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50FDA2A" w14:textId="77777777" w:rsidR="00204D21" w:rsidRPr="00A46D24" w:rsidRDefault="00C65B6F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E84E9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E84E9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aritmetický priemer </w:t>
      </w:r>
      <w:r w:rsidR="000152F0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medziročného 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tempa rastu </w:t>
      </w:r>
      <w:r w:rsidR="000152F0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kvartálnych </w:t>
      </w:r>
      <w:r w:rsidR="004763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indexov </w:t>
      </w:r>
      <w:r w:rsidR="00A80419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ukazovateľa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</w:t>
      </w:r>
      <w:r w:rsidR="000152F0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300909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300909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C91268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AA0BB3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prípade, ak je vypočítaná hodnota nižšia ako 0, použije sa hodnota 0.</w:t>
      </w:r>
    </w:p>
    <w:p w14:paraId="2C31651C" w14:textId="77777777" w:rsidR="00A32777" w:rsidRPr="00A32777" w:rsidRDefault="00C65B6F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A327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A327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327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čisté navýšenie konkrétneho dráhového vozidla za konkrétnu materiálovú zložku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3277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27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 konkrétny kvartál</w:t>
      </w:r>
    </w:p>
    <w:p w14:paraId="7E00B391" w14:textId="4EDFA685" w:rsidR="00A32777" w:rsidRPr="00A46D24" w:rsidRDefault="00C65B6F" w:rsidP="00A3277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327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A327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3277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hodnota zabudovanej materiálovej zložky (v EUR</w:t>
      </w:r>
      <w:r w:rsidR="00B41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časť hodnoty </w:t>
      </w:r>
      <w:r w:rsidR="00B4134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B4134B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3277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) konkrétneho dráhového vozidla v období (kvartáli) zabudovávania do dráhového vozidla vyjadrenú v hodnote času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A3277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  označenú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32777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“, na základe spôsobu určenia podľa Článku 2, ods. 5</w:t>
      </w:r>
      <w:r w:rsidR="00A3277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BF5BE0E" w14:textId="77777777" w:rsidR="00FA74B7" w:rsidRPr="00A46D24" w:rsidRDefault="00A80419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="00FA74B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FA74B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vypočítan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ý</w:t>
      </w:r>
      <w:r w:rsidR="00FA74B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súčet navýšení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Pr="00A46D2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konkrétneho dráhového vozidla za jednotlivé žiadané a počítané kvartály </w:t>
      </w: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A74B7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1D890D02" w14:textId="77777777" w:rsidR="0050417A" w:rsidRPr="00A46D24" w:rsidRDefault="00F62C22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Celkové navýšenie </m:t>
        </m:r>
      </m:oMath>
      <w:r w:rsidR="0050417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50417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súčet </w:t>
      </w:r>
      <w:r w:rsidR="0010418B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hodnôt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="0010418B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za jednotlivé konkrétne dráhové vozidlá</w:t>
      </w:r>
      <w:r w:rsidR="0050417A" w:rsidRPr="00A46D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3E12E5D3" w14:textId="77777777" w:rsidR="002552A2" w:rsidRDefault="002552A2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</w:p>
    <w:p w14:paraId="71B3B286" w14:textId="2BF701F5" w:rsidR="00CA7851" w:rsidRPr="00A46D24" w:rsidRDefault="00CA7851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A46D24">
        <w:rPr>
          <w:b/>
          <w:bCs/>
          <w:color w:val="000000" w:themeColor="text1"/>
        </w:rPr>
        <w:t>Článok 3</w:t>
      </w:r>
    </w:p>
    <w:p w14:paraId="15D4A077" w14:textId="1F0E0233" w:rsidR="00CA7851" w:rsidRPr="00A46D24" w:rsidRDefault="00CA7851" w:rsidP="00CA7851">
      <w:pPr>
        <w:pStyle w:val="Default"/>
        <w:spacing w:before="160" w:after="160"/>
        <w:ind w:firstLine="708"/>
        <w:jc w:val="both"/>
        <w:rPr>
          <w:rFonts w:eastAsia="Times New Roman"/>
          <w:bCs/>
          <w:color w:val="000000" w:themeColor="text1"/>
          <w:lang w:eastAsia="sk-SK"/>
        </w:rPr>
      </w:pPr>
      <w:r w:rsidRPr="00A46D24">
        <w:rPr>
          <w:rFonts w:eastAsia="Times New Roman"/>
          <w:bCs/>
          <w:color w:val="000000" w:themeColor="text1"/>
          <w:lang w:eastAsia="sk-SK"/>
        </w:rPr>
        <w:t>Spracované údaje Š</w:t>
      </w:r>
      <w:r w:rsidR="00587B01" w:rsidRPr="00A46D24">
        <w:rPr>
          <w:rFonts w:eastAsia="Times New Roman"/>
          <w:bCs/>
          <w:color w:val="000000" w:themeColor="text1"/>
          <w:lang w:eastAsia="sk-SK"/>
        </w:rPr>
        <w:t>tatistického úradu</w:t>
      </w:r>
      <w:r w:rsidRPr="00A46D24">
        <w:rPr>
          <w:rFonts w:eastAsia="Times New Roman"/>
          <w:bCs/>
          <w:color w:val="000000" w:themeColor="text1"/>
          <w:lang w:eastAsia="sk-SK"/>
        </w:rPr>
        <w:t xml:space="preserve"> SR ukazovateľa „</w:t>
      </w:r>
      <w:r w:rsidR="00587B01" w:rsidRPr="00A46D24">
        <w:rPr>
          <w:rFonts w:eastAsia="Times New Roman"/>
          <w:bCs/>
          <w:i/>
          <w:color w:val="000000" w:themeColor="text1"/>
          <w:lang w:eastAsia="sk-SK"/>
        </w:rPr>
        <w:t>Indexy cien priemyselných výrobcov podľa SK NACE Rev. 2 (2015=100) - spolu - štvrťročne [sp2058qs]</w:t>
      </w:r>
      <w:r w:rsidRPr="00A46D24">
        <w:rPr>
          <w:rFonts w:eastAsia="Times New Roman"/>
          <w:bCs/>
          <w:color w:val="000000" w:themeColor="text1"/>
          <w:lang w:eastAsia="sk-SK"/>
        </w:rPr>
        <w:t xml:space="preserve">“ </w:t>
      </w:r>
      <w:r w:rsidR="00D22DFF" w:rsidRPr="00A46D24">
        <w:rPr>
          <w:color w:val="000000" w:themeColor="text1"/>
        </w:rPr>
        <w:t>a konkrétne hodnoty odvetvia „</w:t>
      </w:r>
      <w:r w:rsidR="00D22DFF" w:rsidRPr="00A46D24">
        <w:rPr>
          <w:i/>
          <w:color w:val="000000" w:themeColor="text1"/>
        </w:rPr>
        <w:t>C Priemyselná výroba</w:t>
      </w:r>
      <w:r w:rsidR="00D22DFF" w:rsidRPr="00A46D24">
        <w:rPr>
          <w:color w:val="000000" w:themeColor="text1"/>
        </w:rPr>
        <w:t>“</w:t>
      </w:r>
      <w:r w:rsidR="00D22DFF">
        <w:rPr>
          <w:color w:val="000000" w:themeColor="text1"/>
        </w:rPr>
        <w:t xml:space="preserve"> </w:t>
      </w:r>
      <w:r w:rsidRPr="00A46D24">
        <w:rPr>
          <w:rFonts w:eastAsia="Times New Roman"/>
          <w:bCs/>
          <w:color w:val="000000" w:themeColor="text1"/>
          <w:lang w:eastAsia="sk-SK"/>
        </w:rPr>
        <w:t xml:space="preserve">potrebné na výpočet, ktorým sa stanovuje mechanizmus úpravy ceny podľa tohto Metodického pokynu, </w:t>
      </w:r>
      <w:r w:rsidR="00587B01" w:rsidRPr="00A46D24">
        <w:rPr>
          <w:rFonts w:eastAsia="Times New Roman"/>
          <w:bCs/>
          <w:color w:val="000000" w:themeColor="text1"/>
          <w:lang w:eastAsia="sk-SK"/>
        </w:rPr>
        <w:t xml:space="preserve">sú zverejňované na webovom sídle Štatistického úradu SR a </w:t>
      </w:r>
      <w:r w:rsidRPr="00A46D24">
        <w:rPr>
          <w:rFonts w:eastAsia="Times New Roman"/>
          <w:bCs/>
          <w:color w:val="000000" w:themeColor="text1"/>
          <w:lang w:eastAsia="sk-SK"/>
        </w:rPr>
        <w:t>budú zverejnené a aktualizované na webovej stránke Ministerstva dopravy S</w:t>
      </w:r>
      <w:r w:rsidR="00F00CA1" w:rsidRPr="00A46D24">
        <w:rPr>
          <w:rFonts w:eastAsia="Times New Roman"/>
          <w:bCs/>
          <w:color w:val="000000" w:themeColor="text1"/>
          <w:lang w:eastAsia="sk-SK"/>
        </w:rPr>
        <w:t>lovenskej republiky</w:t>
      </w:r>
      <w:r w:rsidRPr="00A46D24">
        <w:rPr>
          <w:rFonts w:eastAsia="Times New Roman"/>
          <w:bCs/>
          <w:color w:val="000000" w:themeColor="text1"/>
          <w:lang w:eastAsia="sk-SK"/>
        </w:rPr>
        <w:t>.</w:t>
      </w:r>
    </w:p>
    <w:p w14:paraId="23903F75" w14:textId="127D52EF" w:rsidR="000D7961" w:rsidRPr="00A46D24" w:rsidRDefault="000D7961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A46D24">
        <w:rPr>
          <w:b/>
          <w:bCs/>
          <w:color w:val="000000" w:themeColor="text1"/>
        </w:rPr>
        <w:lastRenderedPageBreak/>
        <w:t xml:space="preserve">Článok </w:t>
      </w:r>
      <w:r w:rsidR="00296B3F">
        <w:rPr>
          <w:b/>
          <w:bCs/>
          <w:color w:val="000000" w:themeColor="text1"/>
        </w:rPr>
        <w:t>4</w:t>
      </w:r>
    </w:p>
    <w:p w14:paraId="6FDF3A67" w14:textId="14E9405A" w:rsidR="00B90AB1" w:rsidRDefault="005F5AB8" w:rsidP="005F5AB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Tento Metodický pokyn </w:t>
      </w:r>
      <w:r w:rsidR="000D796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nadobúda účinnosť dňa ..</w:t>
      </w:r>
      <w:r w:rsidR="006D0E7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...........</w:t>
      </w:r>
      <w:r w:rsidR="000D796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.. 202</w:t>
      </w:r>
      <w:r w:rsidR="00587B0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3</w:t>
      </w:r>
      <w:r w:rsidR="000D796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</w:t>
      </w:r>
      <w:r w:rsidR="00146113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90AB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Ukončenie platnosti </w:t>
      </w:r>
      <w:r w:rsidR="00CD2695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tohto </w:t>
      </w:r>
      <w:r w:rsidR="00B90AB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</w:t>
      </w:r>
      <w:r w:rsidR="00B24F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etodického pokynu bude závisieť </w:t>
      </w:r>
      <w:r w:rsidR="00B90AB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od ukončenia </w:t>
      </w:r>
      <w:r w:rsidR="00B90AB1"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vojny Ruskej federácie na území Ukrajiny </w:t>
      </w:r>
      <w:r w:rsidR="00B90AB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a</w:t>
      </w:r>
      <w:r w:rsidR="00B24F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 jej vplyvov a</w:t>
      </w:r>
      <w:r w:rsidR="00B90AB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 bude definované vydaním samostatného Metodického pokynu</w:t>
      </w:r>
      <w:r w:rsidR="009402AA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="00F00CA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alebo rozhodnutím Ministerstva dopravy Slovenskej republiky</w:t>
      </w:r>
      <w:r w:rsidR="00B90AB1" w:rsidRPr="00A46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14:paraId="4A6FD251" w14:textId="78A56073" w:rsidR="009C1704" w:rsidRPr="00A46D24" w:rsidRDefault="009C1704" w:rsidP="005F5AB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Obstarávateľ zároveň môže z dôvodu financovania ohraničiť vykonateľnosť metodického pokynu formou ustanovenia v</w:t>
      </w:r>
      <w:r w:rsidR="008F43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 dodatku k zmluve.</w:t>
      </w:r>
    </w:p>
    <w:p w14:paraId="61D06585" w14:textId="77777777" w:rsidR="000D7961" w:rsidRPr="00A46D24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2D392EF" w14:textId="77777777" w:rsidR="000D7961" w:rsidRPr="00A46D24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ab/>
        <w:t>V Bratislave</w:t>
      </w:r>
    </w:p>
    <w:p w14:paraId="59B898B7" w14:textId="77777777" w:rsidR="000D7961" w:rsidRPr="00A46D24" w:rsidRDefault="000D7961" w:rsidP="000D7961">
      <w:pPr>
        <w:spacing w:after="0" w:line="240" w:lineRule="auto"/>
        <w:rPr>
          <w:rFonts w:ascii="Times New Roman" w:eastAsia="NSimSun" w:hAnsi="Times New Roman" w:cs="Arial"/>
          <w:color w:val="000000" w:themeColor="text1"/>
          <w:kern w:val="2"/>
          <w:sz w:val="24"/>
          <w:szCs w:val="24"/>
          <w:lang w:eastAsia="zh-CN" w:bidi="hi-IN"/>
        </w:rPr>
      </w:pPr>
    </w:p>
    <w:p w14:paraId="19C77FAC" w14:textId="77777777" w:rsidR="000D7961" w:rsidRPr="00A46D24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</w:r>
      <w:r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  <w:t xml:space="preserve"> </w:t>
      </w:r>
      <w:r w:rsidR="00BD11CE"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Andrej Doležal</w:t>
      </w:r>
    </w:p>
    <w:p w14:paraId="15799F23" w14:textId="77777777" w:rsidR="000D7961" w:rsidRPr="00A46D24" w:rsidRDefault="00E91FA8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</w:pPr>
      <w:r w:rsidRPr="00A46D24"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  <w:t>minister dopravy</w:t>
      </w:r>
    </w:p>
    <w:p w14:paraId="75DAB749" w14:textId="77777777" w:rsidR="00626C98" w:rsidRPr="00A46D24" w:rsidRDefault="00BD11CE" w:rsidP="0047579F">
      <w:pPr>
        <w:spacing w:after="0" w:line="240" w:lineRule="auto"/>
        <w:ind w:left="3824" w:firstLine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6D24"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  <w:t xml:space="preserve">  </w:t>
      </w:r>
      <w:r w:rsidR="000D7961" w:rsidRPr="00A46D24"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  <w:t>Slovenskej republiky</w:t>
      </w:r>
    </w:p>
    <w:sectPr w:rsidR="00626C98" w:rsidRPr="00A46D24" w:rsidSect="004757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0C59" w14:textId="77777777" w:rsidR="007971CD" w:rsidRDefault="007971CD" w:rsidP="00226942">
      <w:pPr>
        <w:spacing w:after="0" w:line="240" w:lineRule="auto"/>
      </w:pPr>
      <w:r>
        <w:separator/>
      </w:r>
    </w:p>
  </w:endnote>
  <w:endnote w:type="continuationSeparator" w:id="0">
    <w:p w14:paraId="4AC5C2F5" w14:textId="77777777" w:rsidR="007971CD" w:rsidRDefault="007971CD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C5D49" w14:textId="1D38CB44" w:rsidR="001A3DC0" w:rsidRDefault="001A3DC0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65B6F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65B6F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5886" w14:textId="77777777" w:rsidR="007971CD" w:rsidRDefault="007971CD" w:rsidP="00226942">
      <w:pPr>
        <w:spacing w:after="0" w:line="240" w:lineRule="auto"/>
      </w:pPr>
      <w:r>
        <w:separator/>
      </w:r>
    </w:p>
  </w:footnote>
  <w:footnote w:type="continuationSeparator" w:id="0">
    <w:p w14:paraId="350B85DC" w14:textId="77777777" w:rsidR="007971CD" w:rsidRDefault="007971CD" w:rsidP="00226942">
      <w:pPr>
        <w:spacing w:after="0" w:line="240" w:lineRule="auto"/>
      </w:pPr>
      <w:r>
        <w:continuationSeparator/>
      </w:r>
    </w:p>
  </w:footnote>
  <w:footnote w:id="1">
    <w:p w14:paraId="53B0BEDE" w14:textId="77777777" w:rsidR="00506787" w:rsidRPr="00940B92" w:rsidRDefault="00506787" w:rsidP="00506787">
      <w:pPr>
        <w:pStyle w:val="Textpoznmkypodiarou"/>
        <w:jc w:val="both"/>
        <w:rPr>
          <w:rFonts w:ascii="Times New Roman" w:hAnsi="Times New Roman" w:cs="Times New Roman"/>
        </w:rPr>
      </w:pPr>
      <w:r w:rsidRPr="00940B92">
        <w:rPr>
          <w:rStyle w:val="Odkaznapoznmkupodiarou"/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</w:t>
      </w:r>
      <w:r w:rsidR="00AC4A32" w:rsidRPr="00940B92">
        <w:rPr>
          <w:rFonts w:ascii="Times New Roman" w:hAnsi="Times New Roman" w:cs="Times New Roman"/>
        </w:rPr>
        <w:t>§20 zákona 513/2009 Z. z. o dráhach a o zmene a doplnení niektorých zákonov</w:t>
      </w:r>
    </w:p>
  </w:footnote>
  <w:footnote w:id="2">
    <w:p w14:paraId="3E972802" w14:textId="6ACBE00A" w:rsidR="001A3DC0" w:rsidRPr="00940B92" w:rsidRDefault="001A3DC0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940B92">
        <w:rPr>
          <w:rStyle w:val="Odkaznapoznmkupodiarou"/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§2 </w:t>
      </w:r>
      <w:r w:rsidR="00D811FC">
        <w:rPr>
          <w:rFonts w:ascii="Times New Roman" w:hAnsi="Times New Roman" w:cs="Times New Roman"/>
        </w:rPr>
        <w:t>písm. a)</w:t>
      </w:r>
      <w:r w:rsidRPr="00940B92">
        <w:rPr>
          <w:rFonts w:ascii="Times New Roman" w:hAnsi="Times New Roman" w:cs="Times New Roman"/>
        </w:rPr>
        <w:t xml:space="preserve"> zákona č. 523/2004 Z. z. o rozpočtových pravidlách verejnej správy a o zmene a doplnení niektorých zákonov</w:t>
      </w:r>
    </w:p>
  </w:footnote>
  <w:footnote w:id="3">
    <w:p w14:paraId="47E6BB01" w14:textId="77777777" w:rsidR="008A1C45" w:rsidRPr="008A1C45" w:rsidRDefault="008A1C45">
      <w:pPr>
        <w:pStyle w:val="Textpoznmkypodiarou"/>
        <w:rPr>
          <w:rFonts w:ascii="Times New Roman" w:hAnsi="Times New Roman" w:cs="Times New Roman"/>
        </w:rPr>
      </w:pPr>
      <w:r w:rsidRPr="008A1C45">
        <w:rPr>
          <w:rStyle w:val="Odkaznapoznmkupodiarou"/>
          <w:rFonts w:ascii="Times New Roman" w:hAnsi="Times New Roman" w:cs="Times New Roman"/>
        </w:rPr>
        <w:footnoteRef/>
      </w:r>
      <w:r w:rsidRPr="008A1C45">
        <w:rPr>
          <w:rFonts w:ascii="Times New Roman" w:hAnsi="Times New Roman" w:cs="Times New Roman"/>
        </w:rPr>
        <w:t xml:space="preserve"> </w:t>
      </w:r>
      <w:r w:rsidR="003828E0" w:rsidRPr="003828E0">
        <w:rPr>
          <w:rFonts w:ascii="Times New Roman" w:hAnsi="Times New Roman" w:cs="Times New Roman"/>
        </w:rPr>
        <w:t>bod E.7</w:t>
      </w:r>
      <w:r w:rsidR="003828E0">
        <w:rPr>
          <w:rFonts w:ascii="Times New Roman" w:hAnsi="Times New Roman" w:cs="Times New Roman"/>
        </w:rPr>
        <w:t xml:space="preserve"> </w:t>
      </w:r>
      <w:hyperlink r:id="rId1" w:history="1">
        <w:r w:rsidRPr="0071664E">
          <w:rPr>
            <w:rStyle w:val="Hypertextovprepojenie"/>
            <w:rFonts w:ascii="Times New Roman" w:hAnsi="Times New Roman" w:cs="Times New Roman"/>
          </w:rPr>
          <w:t>https://www.uvo.gov.sk/metodikavzdelavanie/metodicke-usmernenia-a-vykladove-stanoviska/vseobecne-metodicke-usmernenia-k-zakonu-c-3432015-zz-6f2.html?id=4618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4">
    <w:p w14:paraId="79A0ECE0" w14:textId="77777777" w:rsidR="001A3DC0" w:rsidRPr="00940B92" w:rsidRDefault="001A3DC0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940B92">
        <w:rPr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  <w:footnote w:id="5">
    <w:p w14:paraId="2DAC5393" w14:textId="77777777" w:rsidR="00940B92" w:rsidRDefault="00940B92">
      <w:pPr>
        <w:pStyle w:val="Textpoznmkypodiarou"/>
      </w:pPr>
      <w:r w:rsidRPr="00940B92">
        <w:rPr>
          <w:rStyle w:val="Odkaznapoznmkupodiarou"/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Štatistická klasifikácia ekonomických činností SK NACE Rev. 2</w:t>
      </w:r>
      <w:r>
        <w:rPr>
          <w:rFonts w:ascii="Times New Roman" w:hAnsi="Times New Roman" w:cs="Times New Roman"/>
        </w:rPr>
        <w:t xml:space="preserve">: </w:t>
      </w:r>
      <w:hyperlink r:id="rId2" w:anchor="Z7_Q7I8BB1A00HCB0IR6PUKPT3032" w:history="1">
        <w:r w:rsidRPr="00AD0774">
          <w:rPr>
            <w:rStyle w:val="Hypertextovprepojenie"/>
            <w:rFonts w:ascii="Times New Roman" w:hAnsi="Times New Roman" w:cs="Times New Roman"/>
          </w:rPr>
          <w:t>https://slovak.statistics.sk/wps/portal/!ut/p/z1/jZBBb4JAEIV_Sw8cuzM46K69LRxk1SZASsC9NGgQSVwwuC1_v9T00Cbt1rnN5Hvz8h5oKEF31XvbVLbtu-o87Tu9eE25EmHoS8TnTYSKVJyGMvNRzqG4AdFKxgHfIortao5Kxnm2TIlQEuh79PjHSLxP7wC0-30B2mmhgi_AFfE_kzXodm_YeDAMmZjRdCU_CPiSuE-fHctuT6IBPdTHeqgH9jZM1Z-svVyfPPRwHEfW9H1zrtmhNx7-Jjn1VwvlTxJ2Uzv8W7Y4ClFliyTfJC-ENLvV5wQuJs9LbBNTCCse04cPbc-u4w!!/#Z7_Q7I8BB1A00HCB0IR6PUKPT3032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14:paraId="470EEE2B" w14:textId="77777777" w:rsidR="005912E7" w:rsidRPr="009438E3" w:rsidRDefault="005912E7">
      <w:pPr>
        <w:pStyle w:val="Textpoznmkypodiarou"/>
        <w:rPr>
          <w:rFonts w:ascii="Times New Roman" w:hAnsi="Times New Roman" w:cs="Times New Roman"/>
        </w:rPr>
      </w:pPr>
      <w:r w:rsidRPr="009438E3">
        <w:rPr>
          <w:rStyle w:val="Odkaznapoznmkupodiarou"/>
          <w:rFonts w:ascii="Times New Roman" w:hAnsi="Times New Roman" w:cs="Times New Roman"/>
        </w:rPr>
        <w:footnoteRef/>
      </w:r>
      <w:r w:rsidRPr="009438E3">
        <w:rPr>
          <w:rFonts w:ascii="Times New Roman" w:hAnsi="Times New Roman" w:cs="Times New Roman"/>
        </w:rPr>
        <w:t xml:space="preserve"> Ukazovateľ ŠÚ SR, Indexy cien priemyselných výrobcov podľa SK NACE Rev. 2 (2015=100) - spolu - štvrťročne [sp2058qs]“: </w:t>
      </w:r>
      <w:hyperlink r:id="rId3" w:anchor="!/view/sk/VBD_SLOVSTAT/sp2058qs/v_sp2058qs_00_00_00_sk" w:history="1">
        <w:r w:rsidRPr="009438E3">
          <w:rPr>
            <w:rStyle w:val="Hypertextovprepojenie"/>
            <w:rFonts w:ascii="Times New Roman" w:hAnsi="Times New Roman" w:cs="Times New Roman"/>
          </w:rPr>
          <w:t>https://datacube.statistics.sk/#!/view/sk/VBD_SLOVSTAT/sp2058qs/v_sp2058qs_00_00_00_sk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48"/>
    <w:multiLevelType w:val="hybridMultilevel"/>
    <w:tmpl w:val="A31AB62A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01240E42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9372E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807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B5AF3"/>
    <w:multiLevelType w:val="hybridMultilevel"/>
    <w:tmpl w:val="EF30B6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6D7DE7"/>
    <w:multiLevelType w:val="hybridMultilevel"/>
    <w:tmpl w:val="126036C6"/>
    <w:lvl w:ilvl="0" w:tplc="B7E0A2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F51A1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A10D5D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7667AF"/>
    <w:multiLevelType w:val="hybridMultilevel"/>
    <w:tmpl w:val="845C56C6"/>
    <w:lvl w:ilvl="0" w:tplc="9CEA5A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6F20"/>
    <w:multiLevelType w:val="hybridMultilevel"/>
    <w:tmpl w:val="E0967472"/>
    <w:lvl w:ilvl="0" w:tplc="017C49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76961"/>
    <w:multiLevelType w:val="hybridMultilevel"/>
    <w:tmpl w:val="F7CACC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152F0"/>
    <w:rsid w:val="00022677"/>
    <w:rsid w:val="00031A4B"/>
    <w:rsid w:val="00032CAD"/>
    <w:rsid w:val="00033035"/>
    <w:rsid w:val="00052B2F"/>
    <w:rsid w:val="00052B61"/>
    <w:rsid w:val="0006222D"/>
    <w:rsid w:val="00065CDC"/>
    <w:rsid w:val="00067B9E"/>
    <w:rsid w:val="00067C5F"/>
    <w:rsid w:val="000737AA"/>
    <w:rsid w:val="00087974"/>
    <w:rsid w:val="0009785B"/>
    <w:rsid w:val="000A4EAD"/>
    <w:rsid w:val="000B1BA7"/>
    <w:rsid w:val="000B5CC2"/>
    <w:rsid w:val="000C5F51"/>
    <w:rsid w:val="000C7633"/>
    <w:rsid w:val="000D6A26"/>
    <w:rsid w:val="000D7961"/>
    <w:rsid w:val="000E136B"/>
    <w:rsid w:val="000E3958"/>
    <w:rsid w:val="00101795"/>
    <w:rsid w:val="00102758"/>
    <w:rsid w:val="0010418B"/>
    <w:rsid w:val="001050F7"/>
    <w:rsid w:val="00107463"/>
    <w:rsid w:val="001104CE"/>
    <w:rsid w:val="0011237F"/>
    <w:rsid w:val="00125A82"/>
    <w:rsid w:val="00126D40"/>
    <w:rsid w:val="001361B7"/>
    <w:rsid w:val="001400DF"/>
    <w:rsid w:val="00141756"/>
    <w:rsid w:val="00144410"/>
    <w:rsid w:val="00144539"/>
    <w:rsid w:val="00146113"/>
    <w:rsid w:val="00151B72"/>
    <w:rsid w:val="00151F03"/>
    <w:rsid w:val="00153D88"/>
    <w:rsid w:val="00155E69"/>
    <w:rsid w:val="00163936"/>
    <w:rsid w:val="00170927"/>
    <w:rsid w:val="001808D2"/>
    <w:rsid w:val="001A1B47"/>
    <w:rsid w:val="001A3DC0"/>
    <w:rsid w:val="001A4439"/>
    <w:rsid w:val="001A550A"/>
    <w:rsid w:val="001B38BB"/>
    <w:rsid w:val="001B4236"/>
    <w:rsid w:val="001B74C7"/>
    <w:rsid w:val="001C4C72"/>
    <w:rsid w:val="001C5DE5"/>
    <w:rsid w:val="001D01B2"/>
    <w:rsid w:val="001D02A1"/>
    <w:rsid w:val="001D5755"/>
    <w:rsid w:val="001F1972"/>
    <w:rsid w:val="00204288"/>
    <w:rsid w:val="00204D21"/>
    <w:rsid w:val="0022045B"/>
    <w:rsid w:val="00226942"/>
    <w:rsid w:val="002552A2"/>
    <w:rsid w:val="00262BC7"/>
    <w:rsid w:val="00262ED2"/>
    <w:rsid w:val="0027156C"/>
    <w:rsid w:val="00284BEA"/>
    <w:rsid w:val="002879ED"/>
    <w:rsid w:val="002903B7"/>
    <w:rsid w:val="00290629"/>
    <w:rsid w:val="00293C8C"/>
    <w:rsid w:val="00294102"/>
    <w:rsid w:val="00296B3F"/>
    <w:rsid w:val="002A4F49"/>
    <w:rsid w:val="002B576E"/>
    <w:rsid w:val="002C5250"/>
    <w:rsid w:val="002D3219"/>
    <w:rsid w:val="002E013D"/>
    <w:rsid w:val="002E2DBE"/>
    <w:rsid w:val="002E3B13"/>
    <w:rsid w:val="002F5BF0"/>
    <w:rsid w:val="002F5E7E"/>
    <w:rsid w:val="002F641A"/>
    <w:rsid w:val="002F7FD6"/>
    <w:rsid w:val="00300909"/>
    <w:rsid w:val="00301516"/>
    <w:rsid w:val="00315575"/>
    <w:rsid w:val="00323ED0"/>
    <w:rsid w:val="00324174"/>
    <w:rsid w:val="003304F9"/>
    <w:rsid w:val="00333A89"/>
    <w:rsid w:val="00352356"/>
    <w:rsid w:val="00352D32"/>
    <w:rsid w:val="0036510E"/>
    <w:rsid w:val="00367FA6"/>
    <w:rsid w:val="00373170"/>
    <w:rsid w:val="003738BC"/>
    <w:rsid w:val="00373E07"/>
    <w:rsid w:val="003828E0"/>
    <w:rsid w:val="00390442"/>
    <w:rsid w:val="0039662C"/>
    <w:rsid w:val="003A39D6"/>
    <w:rsid w:val="003B600F"/>
    <w:rsid w:val="003B7B03"/>
    <w:rsid w:val="003C2D5D"/>
    <w:rsid w:val="003C58CB"/>
    <w:rsid w:val="003D01B8"/>
    <w:rsid w:val="003D74CD"/>
    <w:rsid w:val="003F1729"/>
    <w:rsid w:val="003F1ADE"/>
    <w:rsid w:val="003F4B6D"/>
    <w:rsid w:val="00417636"/>
    <w:rsid w:val="00422264"/>
    <w:rsid w:val="00427A71"/>
    <w:rsid w:val="00437F9D"/>
    <w:rsid w:val="0045125E"/>
    <w:rsid w:val="004541A8"/>
    <w:rsid w:val="004546A5"/>
    <w:rsid w:val="00456056"/>
    <w:rsid w:val="00456F33"/>
    <w:rsid w:val="00463F40"/>
    <w:rsid w:val="00473B16"/>
    <w:rsid w:val="00473FC3"/>
    <w:rsid w:val="0047579F"/>
    <w:rsid w:val="00476377"/>
    <w:rsid w:val="00491936"/>
    <w:rsid w:val="0049501C"/>
    <w:rsid w:val="004A7EF2"/>
    <w:rsid w:val="004B5000"/>
    <w:rsid w:val="004C360A"/>
    <w:rsid w:val="004C52DE"/>
    <w:rsid w:val="004D0F5D"/>
    <w:rsid w:val="004D1A44"/>
    <w:rsid w:val="004D3384"/>
    <w:rsid w:val="004D4482"/>
    <w:rsid w:val="004D4768"/>
    <w:rsid w:val="004E443B"/>
    <w:rsid w:val="004E5D1E"/>
    <w:rsid w:val="004F696A"/>
    <w:rsid w:val="0050417A"/>
    <w:rsid w:val="00506787"/>
    <w:rsid w:val="0051122C"/>
    <w:rsid w:val="00511FFC"/>
    <w:rsid w:val="00513743"/>
    <w:rsid w:val="00520C4D"/>
    <w:rsid w:val="0052596E"/>
    <w:rsid w:val="00525A63"/>
    <w:rsid w:val="00526E8B"/>
    <w:rsid w:val="0053286A"/>
    <w:rsid w:val="00542064"/>
    <w:rsid w:val="00542CCD"/>
    <w:rsid w:val="00542F1F"/>
    <w:rsid w:val="00547849"/>
    <w:rsid w:val="0055070E"/>
    <w:rsid w:val="0056325D"/>
    <w:rsid w:val="00566732"/>
    <w:rsid w:val="0057118B"/>
    <w:rsid w:val="0057641A"/>
    <w:rsid w:val="00587B01"/>
    <w:rsid w:val="005912E7"/>
    <w:rsid w:val="005924EA"/>
    <w:rsid w:val="005A46E8"/>
    <w:rsid w:val="005A62CD"/>
    <w:rsid w:val="005A7DF0"/>
    <w:rsid w:val="005B5838"/>
    <w:rsid w:val="005B67A8"/>
    <w:rsid w:val="005C27DD"/>
    <w:rsid w:val="005C496A"/>
    <w:rsid w:val="005D68A5"/>
    <w:rsid w:val="005D76D9"/>
    <w:rsid w:val="005F5AB8"/>
    <w:rsid w:val="005F783A"/>
    <w:rsid w:val="006051FF"/>
    <w:rsid w:val="00606002"/>
    <w:rsid w:val="00614D7F"/>
    <w:rsid w:val="00616B2B"/>
    <w:rsid w:val="00620418"/>
    <w:rsid w:val="0062042E"/>
    <w:rsid w:val="00626C98"/>
    <w:rsid w:val="0062769B"/>
    <w:rsid w:val="0063452B"/>
    <w:rsid w:val="00643EC1"/>
    <w:rsid w:val="00643FD2"/>
    <w:rsid w:val="00646DC6"/>
    <w:rsid w:val="00647168"/>
    <w:rsid w:val="00651022"/>
    <w:rsid w:val="00651122"/>
    <w:rsid w:val="00652446"/>
    <w:rsid w:val="00653666"/>
    <w:rsid w:val="00656507"/>
    <w:rsid w:val="00666E62"/>
    <w:rsid w:val="0067423C"/>
    <w:rsid w:val="00674590"/>
    <w:rsid w:val="006778FA"/>
    <w:rsid w:val="00680F42"/>
    <w:rsid w:val="006907B7"/>
    <w:rsid w:val="00690AC6"/>
    <w:rsid w:val="00695A4C"/>
    <w:rsid w:val="00696460"/>
    <w:rsid w:val="00697420"/>
    <w:rsid w:val="006A1992"/>
    <w:rsid w:val="006B13B0"/>
    <w:rsid w:val="006B1C4A"/>
    <w:rsid w:val="006B1FEA"/>
    <w:rsid w:val="006B30B2"/>
    <w:rsid w:val="006C2564"/>
    <w:rsid w:val="006D0E77"/>
    <w:rsid w:val="006D72E8"/>
    <w:rsid w:val="006F45C6"/>
    <w:rsid w:val="00703195"/>
    <w:rsid w:val="007067F5"/>
    <w:rsid w:val="00720438"/>
    <w:rsid w:val="007329F3"/>
    <w:rsid w:val="00734F5E"/>
    <w:rsid w:val="00737A52"/>
    <w:rsid w:val="00747BA8"/>
    <w:rsid w:val="00750918"/>
    <w:rsid w:val="00750DB4"/>
    <w:rsid w:val="00753C8E"/>
    <w:rsid w:val="007553D6"/>
    <w:rsid w:val="00762BC3"/>
    <w:rsid w:val="0076508A"/>
    <w:rsid w:val="007846DA"/>
    <w:rsid w:val="00793767"/>
    <w:rsid w:val="0079378A"/>
    <w:rsid w:val="00793F07"/>
    <w:rsid w:val="007967B2"/>
    <w:rsid w:val="007971CD"/>
    <w:rsid w:val="007B01A3"/>
    <w:rsid w:val="007B14FD"/>
    <w:rsid w:val="007B1931"/>
    <w:rsid w:val="007C31D7"/>
    <w:rsid w:val="007D26EC"/>
    <w:rsid w:val="007D4974"/>
    <w:rsid w:val="007E03E5"/>
    <w:rsid w:val="007E687F"/>
    <w:rsid w:val="007E7253"/>
    <w:rsid w:val="007F1533"/>
    <w:rsid w:val="007F3EFA"/>
    <w:rsid w:val="007F5495"/>
    <w:rsid w:val="008004D3"/>
    <w:rsid w:val="00817680"/>
    <w:rsid w:val="0082195E"/>
    <w:rsid w:val="00822D33"/>
    <w:rsid w:val="00831D23"/>
    <w:rsid w:val="00832A30"/>
    <w:rsid w:val="0083747B"/>
    <w:rsid w:val="00842DBA"/>
    <w:rsid w:val="00843C20"/>
    <w:rsid w:val="00843C79"/>
    <w:rsid w:val="00843CCC"/>
    <w:rsid w:val="00847D53"/>
    <w:rsid w:val="00855F4F"/>
    <w:rsid w:val="00856D33"/>
    <w:rsid w:val="00870622"/>
    <w:rsid w:val="00871290"/>
    <w:rsid w:val="00876B2A"/>
    <w:rsid w:val="008854B4"/>
    <w:rsid w:val="008A1C45"/>
    <w:rsid w:val="008B741E"/>
    <w:rsid w:val="008C4135"/>
    <w:rsid w:val="008C7D3C"/>
    <w:rsid w:val="008D6928"/>
    <w:rsid w:val="008E1257"/>
    <w:rsid w:val="008E70E3"/>
    <w:rsid w:val="008F43A1"/>
    <w:rsid w:val="00900E35"/>
    <w:rsid w:val="009139CE"/>
    <w:rsid w:val="009146F2"/>
    <w:rsid w:val="00933C8D"/>
    <w:rsid w:val="009402AA"/>
    <w:rsid w:val="00940B92"/>
    <w:rsid w:val="009438E3"/>
    <w:rsid w:val="00944FCB"/>
    <w:rsid w:val="00967802"/>
    <w:rsid w:val="00995524"/>
    <w:rsid w:val="009B1563"/>
    <w:rsid w:val="009C1704"/>
    <w:rsid w:val="009C35FF"/>
    <w:rsid w:val="009C3D8E"/>
    <w:rsid w:val="009D0DE9"/>
    <w:rsid w:val="009D19B8"/>
    <w:rsid w:val="009D3A8D"/>
    <w:rsid w:val="009D603A"/>
    <w:rsid w:val="009E205A"/>
    <w:rsid w:val="009E33DD"/>
    <w:rsid w:val="009E74EE"/>
    <w:rsid w:val="009F203F"/>
    <w:rsid w:val="00A003AD"/>
    <w:rsid w:val="00A24436"/>
    <w:rsid w:val="00A25EEB"/>
    <w:rsid w:val="00A32777"/>
    <w:rsid w:val="00A46D24"/>
    <w:rsid w:val="00A53895"/>
    <w:rsid w:val="00A63E63"/>
    <w:rsid w:val="00A72B49"/>
    <w:rsid w:val="00A77BB0"/>
    <w:rsid w:val="00A80419"/>
    <w:rsid w:val="00A856B9"/>
    <w:rsid w:val="00A92635"/>
    <w:rsid w:val="00A94DBA"/>
    <w:rsid w:val="00A97C7A"/>
    <w:rsid w:val="00AA0BB3"/>
    <w:rsid w:val="00AA56AA"/>
    <w:rsid w:val="00AA5C15"/>
    <w:rsid w:val="00AB37A4"/>
    <w:rsid w:val="00AB6C68"/>
    <w:rsid w:val="00AC15B9"/>
    <w:rsid w:val="00AC2D25"/>
    <w:rsid w:val="00AC4A32"/>
    <w:rsid w:val="00AC4D3E"/>
    <w:rsid w:val="00AD356B"/>
    <w:rsid w:val="00AD64B0"/>
    <w:rsid w:val="00AE473C"/>
    <w:rsid w:val="00AF2D58"/>
    <w:rsid w:val="00AF5935"/>
    <w:rsid w:val="00AF6946"/>
    <w:rsid w:val="00B03479"/>
    <w:rsid w:val="00B04C18"/>
    <w:rsid w:val="00B05B06"/>
    <w:rsid w:val="00B10B7E"/>
    <w:rsid w:val="00B17348"/>
    <w:rsid w:val="00B21851"/>
    <w:rsid w:val="00B24F68"/>
    <w:rsid w:val="00B3358F"/>
    <w:rsid w:val="00B40630"/>
    <w:rsid w:val="00B4134B"/>
    <w:rsid w:val="00B4351E"/>
    <w:rsid w:val="00B4652B"/>
    <w:rsid w:val="00B4767C"/>
    <w:rsid w:val="00B51D45"/>
    <w:rsid w:val="00B56434"/>
    <w:rsid w:val="00B56DF6"/>
    <w:rsid w:val="00B5700A"/>
    <w:rsid w:val="00B57226"/>
    <w:rsid w:val="00B73F02"/>
    <w:rsid w:val="00B776A2"/>
    <w:rsid w:val="00B80F52"/>
    <w:rsid w:val="00B90AB1"/>
    <w:rsid w:val="00B97A8A"/>
    <w:rsid w:val="00BA116A"/>
    <w:rsid w:val="00BA3AC4"/>
    <w:rsid w:val="00BA5A18"/>
    <w:rsid w:val="00BA7628"/>
    <w:rsid w:val="00BB0869"/>
    <w:rsid w:val="00BD11CE"/>
    <w:rsid w:val="00BD53E9"/>
    <w:rsid w:val="00BD5D48"/>
    <w:rsid w:val="00BE060C"/>
    <w:rsid w:val="00BF4CD2"/>
    <w:rsid w:val="00C0550D"/>
    <w:rsid w:val="00C072D0"/>
    <w:rsid w:val="00C22076"/>
    <w:rsid w:val="00C22E0D"/>
    <w:rsid w:val="00C23956"/>
    <w:rsid w:val="00C26760"/>
    <w:rsid w:val="00C34424"/>
    <w:rsid w:val="00C35935"/>
    <w:rsid w:val="00C4198A"/>
    <w:rsid w:val="00C43099"/>
    <w:rsid w:val="00C4419A"/>
    <w:rsid w:val="00C46151"/>
    <w:rsid w:val="00C530AB"/>
    <w:rsid w:val="00C53C4B"/>
    <w:rsid w:val="00C55CF2"/>
    <w:rsid w:val="00C5689B"/>
    <w:rsid w:val="00C65B6F"/>
    <w:rsid w:val="00C7217E"/>
    <w:rsid w:val="00C723C3"/>
    <w:rsid w:val="00C818FB"/>
    <w:rsid w:val="00C850E7"/>
    <w:rsid w:val="00C85B07"/>
    <w:rsid w:val="00C873DF"/>
    <w:rsid w:val="00C91268"/>
    <w:rsid w:val="00CA718F"/>
    <w:rsid w:val="00CA7816"/>
    <w:rsid w:val="00CA7851"/>
    <w:rsid w:val="00CB0A4E"/>
    <w:rsid w:val="00CB375F"/>
    <w:rsid w:val="00CB7379"/>
    <w:rsid w:val="00CC1831"/>
    <w:rsid w:val="00CC6583"/>
    <w:rsid w:val="00CD016A"/>
    <w:rsid w:val="00CD2695"/>
    <w:rsid w:val="00CE5F46"/>
    <w:rsid w:val="00CE7E33"/>
    <w:rsid w:val="00D1188C"/>
    <w:rsid w:val="00D12CC7"/>
    <w:rsid w:val="00D20D43"/>
    <w:rsid w:val="00D217E6"/>
    <w:rsid w:val="00D22DFF"/>
    <w:rsid w:val="00D24D89"/>
    <w:rsid w:val="00D304C8"/>
    <w:rsid w:val="00D30D5C"/>
    <w:rsid w:val="00D40677"/>
    <w:rsid w:val="00D41F87"/>
    <w:rsid w:val="00D54E92"/>
    <w:rsid w:val="00D6244B"/>
    <w:rsid w:val="00D7410C"/>
    <w:rsid w:val="00D7734F"/>
    <w:rsid w:val="00D811FC"/>
    <w:rsid w:val="00D8339A"/>
    <w:rsid w:val="00D90E78"/>
    <w:rsid w:val="00D922D0"/>
    <w:rsid w:val="00D93F0B"/>
    <w:rsid w:val="00DA501A"/>
    <w:rsid w:val="00DA63AC"/>
    <w:rsid w:val="00DB2FEC"/>
    <w:rsid w:val="00DB3881"/>
    <w:rsid w:val="00DD4E9D"/>
    <w:rsid w:val="00DE0B42"/>
    <w:rsid w:val="00DE73FE"/>
    <w:rsid w:val="00E02D02"/>
    <w:rsid w:val="00E1290F"/>
    <w:rsid w:val="00E32364"/>
    <w:rsid w:val="00E32C9A"/>
    <w:rsid w:val="00E41E77"/>
    <w:rsid w:val="00E41F38"/>
    <w:rsid w:val="00E42D81"/>
    <w:rsid w:val="00E622D3"/>
    <w:rsid w:val="00E76E28"/>
    <w:rsid w:val="00E8447D"/>
    <w:rsid w:val="00E84E97"/>
    <w:rsid w:val="00E87F88"/>
    <w:rsid w:val="00E91FA8"/>
    <w:rsid w:val="00E971F7"/>
    <w:rsid w:val="00E977A3"/>
    <w:rsid w:val="00EA4908"/>
    <w:rsid w:val="00EA79F7"/>
    <w:rsid w:val="00EB01C7"/>
    <w:rsid w:val="00EB0BF8"/>
    <w:rsid w:val="00EC703F"/>
    <w:rsid w:val="00ED0F7E"/>
    <w:rsid w:val="00ED5823"/>
    <w:rsid w:val="00EE364D"/>
    <w:rsid w:val="00EE4AC9"/>
    <w:rsid w:val="00EE66E9"/>
    <w:rsid w:val="00F00CA1"/>
    <w:rsid w:val="00F0501C"/>
    <w:rsid w:val="00F12B27"/>
    <w:rsid w:val="00F20909"/>
    <w:rsid w:val="00F26D5F"/>
    <w:rsid w:val="00F358D8"/>
    <w:rsid w:val="00F437B1"/>
    <w:rsid w:val="00F52B2F"/>
    <w:rsid w:val="00F6112E"/>
    <w:rsid w:val="00F62C22"/>
    <w:rsid w:val="00F6618D"/>
    <w:rsid w:val="00F71AAF"/>
    <w:rsid w:val="00F71D95"/>
    <w:rsid w:val="00F735E9"/>
    <w:rsid w:val="00F92367"/>
    <w:rsid w:val="00F9465D"/>
    <w:rsid w:val="00FA0605"/>
    <w:rsid w:val="00FA35BD"/>
    <w:rsid w:val="00FA53A7"/>
    <w:rsid w:val="00FA74B7"/>
    <w:rsid w:val="00FB09CC"/>
    <w:rsid w:val="00FD396F"/>
    <w:rsid w:val="00FD60AE"/>
    <w:rsid w:val="00FE79C0"/>
    <w:rsid w:val="00FF6B0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F486B7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94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944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44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944FCB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944FCB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944FCB"/>
    <w:pP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944FCB"/>
    <w:pPr>
      <w:pBdr>
        <w:bottom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944F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944FCB"/>
    <w:pP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73">
    <w:name w:val="xl73"/>
    <w:basedOn w:val="Normlny"/>
    <w:rsid w:val="00944F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944FCB"/>
    <w:pPr>
      <w:pBdr>
        <w:top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944F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944FCB"/>
    <w:pPr>
      <w:shd w:val="clear" w:color="000000" w:fill="C0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80">
    <w:name w:val="xl80"/>
    <w:basedOn w:val="Normlny"/>
    <w:rsid w:val="00944FCB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944FCB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944FCB"/>
    <w:pPr>
      <w:pBdr>
        <w:top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944FCB"/>
    <w:pP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944FCB"/>
    <w:pPr>
      <w:pBdr>
        <w:bottom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944FCB"/>
    <w:pPr>
      <w:pBdr>
        <w:top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86">
    <w:name w:val="xl86"/>
    <w:basedOn w:val="Normlny"/>
    <w:rsid w:val="00944FCB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cube.statistics.sk/" TargetMode="External"/><Relationship Id="rId2" Type="http://schemas.openxmlformats.org/officeDocument/2006/relationships/hyperlink" Target="https://slovak.statistics.sk/wps/portal/!ut/p/z1/jZBBb4JAEIV_Sw8cuzM46K69LRxk1SZASsC9NGgQSVwwuC1_v9T00Cbt1rnN5Hvz8h5oKEF31XvbVLbtu-o87Tu9eE25EmHoS8TnTYSKVJyGMvNRzqG4AdFKxgHfIortao5Kxnm2TIlQEuh79PjHSLxP7wC0-30B2mmhgi_AFfE_kzXodm_YeDAMmZjRdCU_CPiSuE-fHctuT6IBPdTHeqgH9jZM1Z-svVyfPPRwHEfW9H1zrtmhNx7-Jjn1VwvlTxJ2Uzv8W7Y4ClFliyTfJC-ENLvV5wQuJs9LbBNTCCse04cPbc-u4w!!/" TargetMode="External"/><Relationship Id="rId1" Type="http://schemas.openxmlformats.org/officeDocument/2006/relationships/hyperlink" Target="https://www.uvo.gov.sk/metodikavzdelavanie/metodicke-usmernenia-a-vykladove-stanoviska/vseobecne-metodicke-usmernenia-k-zakonu-c-3432015-zz-6f2.html?id=461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F09-81D3-4618-9BBC-55EBD970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MP MDV SR</vt:lpstr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MD SR</dc:title>
  <dc:subject/>
  <dc:creator>Preťo, Anton</dc:creator>
  <cp:keywords/>
  <dc:description/>
  <cp:lastModifiedBy>Preťo, Anton</cp:lastModifiedBy>
  <cp:revision>7</cp:revision>
  <cp:lastPrinted>2023-01-23T12:39:00Z</cp:lastPrinted>
  <dcterms:created xsi:type="dcterms:W3CDTF">2023-02-01T07:38:00Z</dcterms:created>
  <dcterms:modified xsi:type="dcterms:W3CDTF">2023-02-03T08:11:00Z</dcterms:modified>
</cp:coreProperties>
</file>