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D8826B" w14:textId="77777777" w:rsidR="00F72566" w:rsidRDefault="00F72566" w:rsidP="00F72566">
      <w:pPr>
        <w:pStyle w:val="Popis"/>
        <w:keepNext w:val="0"/>
        <w:spacing w:after="160" w:line="259" w:lineRule="auto"/>
        <w:jc w:val="left"/>
      </w:pPr>
      <w:r w:rsidRPr="000B6A98">
        <w:rPr>
          <w:sz w:val="22"/>
        </w:rPr>
        <w:t xml:space="preserve">Príloha 7 Formulár </w:t>
      </w:r>
      <w:r>
        <w:rPr>
          <w:sz w:val="22"/>
        </w:rPr>
        <w:t xml:space="preserve">na </w:t>
      </w:r>
      <w:r w:rsidRPr="00393650">
        <w:rPr>
          <w:sz w:val="22"/>
        </w:rPr>
        <w:t>aktualizáciu</w:t>
      </w:r>
      <w:r w:rsidRPr="000B6A98">
        <w:rPr>
          <w:sz w:val="22"/>
        </w:rPr>
        <w:t xml:space="preserve"> štúdie </w:t>
      </w:r>
      <w:r>
        <w:rPr>
          <w:sz w:val="22"/>
        </w:rPr>
        <w:t xml:space="preserve">uskutočniteľnosti </w:t>
      </w:r>
      <w:r w:rsidRPr="000B6A98">
        <w:rPr>
          <w:sz w:val="22"/>
        </w:rPr>
        <w:t>pred vytvorením záväzku (podpisom zmluvy)</w:t>
      </w:r>
    </w:p>
    <w:tbl>
      <w:tblPr>
        <w:tblStyle w:val="Mriekatabuky"/>
        <w:tblW w:w="9220" w:type="dxa"/>
        <w:tblLook w:val="04A0" w:firstRow="1" w:lastRow="0" w:firstColumn="1" w:lastColumn="0" w:noHBand="0" w:noVBand="1"/>
      </w:tblPr>
      <w:tblGrid>
        <w:gridCol w:w="5185"/>
        <w:gridCol w:w="1473"/>
        <w:gridCol w:w="1431"/>
        <w:gridCol w:w="1131"/>
      </w:tblGrid>
      <w:tr w:rsidR="00F72566" w:rsidRPr="00415A0B" w14:paraId="572995D3" w14:textId="77777777" w:rsidTr="00A2504E">
        <w:trPr>
          <w:trHeight w:val="330"/>
        </w:trPr>
        <w:tc>
          <w:tcPr>
            <w:tcW w:w="9220" w:type="dxa"/>
            <w:gridSpan w:val="4"/>
            <w:hideMark/>
          </w:tcPr>
          <w:p w14:paraId="26103763" w14:textId="77777777" w:rsidR="00F72566" w:rsidRPr="00415A0B" w:rsidRDefault="00F72566" w:rsidP="0021523D">
            <w:pPr>
              <w:rPr>
                <w:b/>
                <w:bCs/>
              </w:rPr>
            </w:pPr>
            <w:r w:rsidRPr="00415A0B">
              <w:rPr>
                <w:b/>
                <w:bCs/>
              </w:rPr>
              <w:t>Názov projektu</w:t>
            </w:r>
          </w:p>
        </w:tc>
      </w:tr>
      <w:tr w:rsidR="00F72566" w:rsidRPr="00415A0B" w14:paraId="6153ED3B" w14:textId="77777777" w:rsidTr="00A2504E">
        <w:trPr>
          <w:trHeight w:val="555"/>
        </w:trPr>
        <w:tc>
          <w:tcPr>
            <w:tcW w:w="9220" w:type="dxa"/>
            <w:gridSpan w:val="4"/>
            <w:hideMark/>
          </w:tcPr>
          <w:p w14:paraId="771C3B79" w14:textId="77777777" w:rsidR="00F72566" w:rsidRDefault="00F72566" w:rsidP="0021523D">
            <w:pPr>
              <w:rPr>
                <w:i/>
                <w:sz w:val="18"/>
                <w:szCs w:val="18"/>
              </w:rPr>
            </w:pPr>
            <w:r w:rsidRPr="0062770E">
              <w:rPr>
                <w:i/>
                <w:sz w:val="18"/>
                <w:szCs w:val="18"/>
              </w:rPr>
              <w:t>Investor uvedie názov projektu podľa zverenej štúdie uskutočniteľnosti. Ak investor podpisuje zmluvu iba na časť projektu z pôvodnej štúdie, uvedie názov pôvodnej ŠU a doplní názov predmetnej časti, ktorú plánuje predložiť do VO</w:t>
            </w:r>
          </w:p>
          <w:p w14:paraId="716596B7" w14:textId="6065285E" w:rsidR="00F81054" w:rsidRPr="008A6645" w:rsidRDefault="00F81054" w:rsidP="00F81054">
            <w:pPr>
              <w:rPr>
                <w:b/>
                <w:bCs/>
              </w:rPr>
            </w:pPr>
            <w:r w:rsidRPr="00F81054">
              <w:rPr>
                <w:i/>
                <w:iCs/>
              </w:rPr>
              <w:t xml:space="preserve"> </w:t>
            </w:r>
            <w:r w:rsidRPr="008A6645">
              <w:rPr>
                <w:b/>
                <w:bCs/>
                <w:sz w:val="24"/>
                <w:szCs w:val="24"/>
              </w:rPr>
              <w:t>Národný integrovaný cestovný lístok</w:t>
            </w:r>
          </w:p>
        </w:tc>
      </w:tr>
      <w:tr w:rsidR="00F72566" w:rsidRPr="00415A0B" w14:paraId="5DE8F36E" w14:textId="77777777" w:rsidTr="00A2504E">
        <w:trPr>
          <w:trHeight w:val="330"/>
        </w:trPr>
        <w:tc>
          <w:tcPr>
            <w:tcW w:w="9220" w:type="dxa"/>
            <w:gridSpan w:val="4"/>
            <w:hideMark/>
          </w:tcPr>
          <w:p w14:paraId="6BC0C8EC" w14:textId="77777777" w:rsidR="00F72566" w:rsidRPr="00415A0B" w:rsidRDefault="00F72566" w:rsidP="0021523D">
            <w:pPr>
              <w:rPr>
                <w:b/>
                <w:bCs/>
              </w:rPr>
            </w:pPr>
            <w:r w:rsidRPr="00415A0B">
              <w:rPr>
                <w:b/>
                <w:bCs/>
              </w:rPr>
              <w:t>Stručný opis projektu</w:t>
            </w:r>
          </w:p>
        </w:tc>
      </w:tr>
      <w:tr w:rsidR="00F72566" w:rsidRPr="00415A0B" w14:paraId="534C3B51" w14:textId="77777777" w:rsidTr="00A2504E">
        <w:trPr>
          <w:trHeight w:val="300"/>
        </w:trPr>
        <w:tc>
          <w:tcPr>
            <w:tcW w:w="9220" w:type="dxa"/>
            <w:gridSpan w:val="4"/>
            <w:hideMark/>
          </w:tcPr>
          <w:p w14:paraId="28DDEF43" w14:textId="77777777" w:rsidR="00F72566" w:rsidRDefault="00F72566" w:rsidP="0021523D">
            <w:pPr>
              <w:rPr>
                <w:i/>
                <w:iCs/>
              </w:rPr>
            </w:pPr>
            <w:r w:rsidRPr="0062770E">
              <w:rPr>
                <w:i/>
                <w:sz w:val="18"/>
                <w:szCs w:val="18"/>
              </w:rPr>
              <w:t>Investor uvedie stručný opis predkladaného projektu</w:t>
            </w:r>
            <w:r w:rsidRPr="00415A0B">
              <w:rPr>
                <w:i/>
                <w:iCs/>
              </w:rPr>
              <w:t xml:space="preserve"> </w:t>
            </w:r>
          </w:p>
          <w:p w14:paraId="1D8C127B" w14:textId="45AE87E7" w:rsidR="00F81054" w:rsidRDefault="00F81054" w:rsidP="00F81054">
            <w:pPr>
              <w:rPr>
                <w:i/>
                <w:iCs/>
              </w:rPr>
            </w:pPr>
            <w:r w:rsidRPr="00F81054">
              <w:rPr>
                <w:i/>
                <w:iCs/>
              </w:rPr>
              <w:t>Cie</w:t>
            </w:r>
            <w:r w:rsidRPr="00F81054">
              <w:rPr>
                <w:rFonts w:hint="eastAsia"/>
                <w:i/>
                <w:iCs/>
              </w:rPr>
              <w:t>ľ</w:t>
            </w:r>
            <w:r w:rsidRPr="00F81054">
              <w:rPr>
                <w:i/>
                <w:iCs/>
              </w:rPr>
              <w:t xml:space="preserve">om projektu je vytvorenie </w:t>
            </w:r>
            <w:r>
              <w:rPr>
                <w:i/>
                <w:iCs/>
              </w:rPr>
              <w:t>komplexného i</w:t>
            </w:r>
            <w:r w:rsidRPr="00F81054">
              <w:rPr>
                <w:i/>
                <w:iCs/>
              </w:rPr>
              <w:t>nforma</w:t>
            </w:r>
            <w:r w:rsidRPr="00F81054">
              <w:rPr>
                <w:rFonts w:hint="eastAsia"/>
                <w:i/>
                <w:iCs/>
              </w:rPr>
              <w:t>č</w:t>
            </w:r>
            <w:r w:rsidRPr="00F81054">
              <w:rPr>
                <w:i/>
                <w:iCs/>
              </w:rPr>
              <w:t>n</w:t>
            </w:r>
            <w:r w:rsidRPr="00F81054">
              <w:rPr>
                <w:rFonts w:hint="eastAsia"/>
                <w:i/>
                <w:iCs/>
              </w:rPr>
              <w:t>é</w:t>
            </w:r>
            <w:r w:rsidRPr="00F81054">
              <w:rPr>
                <w:i/>
                <w:iCs/>
              </w:rPr>
              <w:t>ho syst</w:t>
            </w:r>
            <w:r w:rsidRPr="00F81054">
              <w:rPr>
                <w:rFonts w:hint="eastAsia"/>
                <w:i/>
                <w:iCs/>
              </w:rPr>
              <w:t>é</w:t>
            </w:r>
            <w:r w:rsidRPr="00F81054">
              <w:rPr>
                <w:i/>
                <w:iCs/>
              </w:rPr>
              <w:t>mu N</w:t>
            </w:r>
            <w:r w:rsidRPr="00F81054">
              <w:rPr>
                <w:rFonts w:hint="eastAsia"/>
                <w:i/>
                <w:iCs/>
              </w:rPr>
              <w:t>á</w:t>
            </w:r>
            <w:r w:rsidRPr="00F81054">
              <w:rPr>
                <w:i/>
                <w:iCs/>
              </w:rPr>
              <w:t>rodn</w:t>
            </w:r>
            <w:r w:rsidRPr="00F81054">
              <w:rPr>
                <w:rFonts w:hint="eastAsia"/>
                <w:i/>
                <w:iCs/>
              </w:rPr>
              <w:t>é</w:t>
            </w:r>
            <w:r w:rsidRPr="00F81054">
              <w:rPr>
                <w:i/>
                <w:iCs/>
              </w:rPr>
              <w:t>ho Integrovan</w:t>
            </w:r>
            <w:r w:rsidRPr="00F81054">
              <w:rPr>
                <w:rFonts w:hint="eastAsia"/>
                <w:i/>
                <w:iCs/>
              </w:rPr>
              <w:t>é</w:t>
            </w:r>
            <w:r w:rsidRPr="00F81054">
              <w:rPr>
                <w:i/>
                <w:iCs/>
              </w:rPr>
              <w:t>ho cestovn</w:t>
            </w:r>
            <w:r w:rsidRPr="00F81054">
              <w:rPr>
                <w:rFonts w:hint="eastAsia"/>
                <w:i/>
                <w:iCs/>
              </w:rPr>
              <w:t>é</w:t>
            </w:r>
            <w:r w:rsidRPr="00F81054">
              <w:rPr>
                <w:i/>
                <w:iCs/>
              </w:rPr>
              <w:t>ho l</w:t>
            </w:r>
            <w:r w:rsidRPr="00F81054">
              <w:rPr>
                <w:rFonts w:hint="eastAsia"/>
                <w:i/>
                <w:iCs/>
              </w:rPr>
              <w:t>í</w:t>
            </w:r>
            <w:r w:rsidRPr="00F81054">
              <w:rPr>
                <w:i/>
                <w:iCs/>
              </w:rPr>
              <w:t>stka (NICL), ktor</w:t>
            </w:r>
            <w:r w:rsidRPr="00F81054">
              <w:rPr>
                <w:rFonts w:hint="eastAsia"/>
                <w:i/>
                <w:iCs/>
              </w:rPr>
              <w:t>ý</w:t>
            </w:r>
            <w:r w:rsidRPr="00F81054">
              <w:rPr>
                <w:i/>
                <w:iCs/>
              </w:rPr>
              <w:t xml:space="preserve"> umo</w:t>
            </w:r>
            <w:r w:rsidRPr="00F81054">
              <w:rPr>
                <w:rFonts w:hint="eastAsia"/>
                <w:i/>
                <w:iCs/>
              </w:rPr>
              <w:t>ž</w:t>
            </w:r>
            <w:r w:rsidRPr="00F81054">
              <w:rPr>
                <w:i/>
                <w:iCs/>
              </w:rPr>
              <w:t>n</w:t>
            </w:r>
            <w:r w:rsidRPr="00F81054">
              <w:rPr>
                <w:rFonts w:hint="eastAsia"/>
                <w:i/>
                <w:iCs/>
              </w:rPr>
              <w:t>í</w:t>
            </w:r>
            <w:r w:rsidRPr="00F81054">
              <w:rPr>
                <w:i/>
                <w:iCs/>
              </w:rPr>
              <w:t xml:space="preserve"> pou</w:t>
            </w:r>
            <w:r w:rsidRPr="00F81054">
              <w:rPr>
                <w:rFonts w:hint="eastAsia"/>
                <w:i/>
                <w:iCs/>
              </w:rPr>
              <w:t>ží</w:t>
            </w:r>
            <w:r w:rsidRPr="00F81054">
              <w:rPr>
                <w:i/>
                <w:iCs/>
              </w:rPr>
              <w:t>vate</w:t>
            </w:r>
            <w:r w:rsidRPr="00F81054">
              <w:rPr>
                <w:rFonts w:hint="eastAsia"/>
                <w:i/>
                <w:iCs/>
              </w:rPr>
              <w:t>ľ</w:t>
            </w:r>
            <w:r w:rsidRPr="00F81054">
              <w:rPr>
                <w:i/>
                <w:iCs/>
              </w:rPr>
              <w:t>om jednoducho a</w:t>
            </w:r>
            <w:r>
              <w:rPr>
                <w:i/>
                <w:iCs/>
              </w:rPr>
              <w:t xml:space="preserve"> </w:t>
            </w:r>
            <w:r w:rsidRPr="00F81054">
              <w:rPr>
                <w:i/>
                <w:iCs/>
              </w:rPr>
              <w:t>efekt</w:t>
            </w:r>
            <w:r w:rsidRPr="00F81054">
              <w:rPr>
                <w:rFonts w:hint="eastAsia"/>
                <w:i/>
                <w:iCs/>
              </w:rPr>
              <w:t>í</w:t>
            </w:r>
            <w:r w:rsidRPr="00F81054">
              <w:rPr>
                <w:i/>
                <w:iCs/>
              </w:rPr>
              <w:t>vne cestova</w:t>
            </w:r>
            <w:r w:rsidRPr="00F81054">
              <w:rPr>
                <w:rFonts w:hint="eastAsia"/>
                <w:i/>
                <w:iCs/>
              </w:rPr>
              <w:t>ť</w:t>
            </w:r>
            <w:r w:rsidRPr="00F81054">
              <w:rPr>
                <w:i/>
                <w:iCs/>
              </w:rPr>
              <w:t xml:space="preserve"> r</w:t>
            </w:r>
            <w:r w:rsidRPr="00F81054">
              <w:rPr>
                <w:rFonts w:hint="eastAsia"/>
                <w:i/>
                <w:iCs/>
              </w:rPr>
              <w:t>ô</w:t>
            </w:r>
            <w:r w:rsidRPr="00F81054">
              <w:rPr>
                <w:i/>
                <w:iCs/>
              </w:rPr>
              <w:t>znymi druhmi verejnej dopravy po celom Slovensku. Syst</w:t>
            </w:r>
            <w:r w:rsidRPr="00F81054">
              <w:rPr>
                <w:rFonts w:hint="eastAsia"/>
                <w:i/>
                <w:iCs/>
              </w:rPr>
              <w:t>é</w:t>
            </w:r>
            <w:r w:rsidRPr="00F81054">
              <w:rPr>
                <w:i/>
                <w:iCs/>
              </w:rPr>
              <w:t>m pon</w:t>
            </w:r>
            <w:r w:rsidRPr="00F81054">
              <w:rPr>
                <w:rFonts w:hint="eastAsia"/>
                <w:i/>
                <w:iCs/>
              </w:rPr>
              <w:t>ú</w:t>
            </w:r>
            <w:r w:rsidRPr="00F81054">
              <w:rPr>
                <w:i/>
                <w:iCs/>
              </w:rPr>
              <w:t>kne jednotn</w:t>
            </w:r>
            <w:r w:rsidRPr="00F81054">
              <w:rPr>
                <w:rFonts w:hint="eastAsia"/>
                <w:i/>
                <w:iCs/>
              </w:rPr>
              <w:t>ý</w:t>
            </w:r>
            <w:r w:rsidRPr="00F81054">
              <w:rPr>
                <w:i/>
                <w:iCs/>
              </w:rPr>
              <w:t xml:space="preserve"> elektronick</w:t>
            </w:r>
            <w:r w:rsidRPr="00F81054">
              <w:rPr>
                <w:rFonts w:hint="eastAsia"/>
                <w:i/>
                <w:iCs/>
              </w:rPr>
              <w:t>ý</w:t>
            </w:r>
            <w:r w:rsidRPr="00F81054">
              <w:rPr>
                <w:i/>
                <w:iCs/>
              </w:rPr>
              <w:t xml:space="preserve"> cestovn</w:t>
            </w:r>
            <w:r w:rsidRPr="00F81054">
              <w:rPr>
                <w:rFonts w:hint="eastAsia"/>
                <w:i/>
                <w:iCs/>
              </w:rPr>
              <w:t>ý</w:t>
            </w:r>
            <w:r w:rsidRPr="00F81054">
              <w:rPr>
                <w:i/>
                <w:iCs/>
              </w:rPr>
              <w:t xml:space="preserve"> l</w:t>
            </w:r>
            <w:r w:rsidRPr="00F81054">
              <w:rPr>
                <w:rFonts w:hint="eastAsia"/>
                <w:i/>
                <w:iCs/>
              </w:rPr>
              <w:t>í</w:t>
            </w:r>
            <w:r w:rsidRPr="00F81054">
              <w:rPr>
                <w:i/>
                <w:iCs/>
              </w:rPr>
              <w:t>stok, ktor</w:t>
            </w:r>
            <w:r w:rsidRPr="00F81054">
              <w:rPr>
                <w:rFonts w:hint="eastAsia"/>
                <w:i/>
                <w:iCs/>
              </w:rPr>
              <w:t>ý</w:t>
            </w:r>
            <w:r w:rsidRPr="00F81054">
              <w:rPr>
                <w:i/>
                <w:iCs/>
              </w:rPr>
              <w:t xml:space="preserve"> bude dostupn</w:t>
            </w:r>
            <w:r w:rsidRPr="00F81054">
              <w:rPr>
                <w:rFonts w:hint="eastAsia"/>
                <w:i/>
                <w:iCs/>
              </w:rPr>
              <w:t>ý</w:t>
            </w:r>
            <w:r w:rsidRPr="00F81054">
              <w:rPr>
                <w:i/>
                <w:iCs/>
              </w:rPr>
              <w:t xml:space="preserve"> cez</w:t>
            </w:r>
            <w:r>
              <w:rPr>
                <w:i/>
                <w:iCs/>
              </w:rPr>
              <w:t xml:space="preserve"> </w:t>
            </w:r>
            <w:r w:rsidRPr="00F81054">
              <w:rPr>
                <w:i/>
                <w:iCs/>
              </w:rPr>
              <w:t>WEB/mobiln</w:t>
            </w:r>
            <w:r w:rsidRPr="00F81054">
              <w:rPr>
                <w:rFonts w:hint="eastAsia"/>
                <w:i/>
                <w:iCs/>
              </w:rPr>
              <w:t>ú</w:t>
            </w:r>
            <w:r w:rsidRPr="00F81054">
              <w:rPr>
                <w:i/>
                <w:iCs/>
              </w:rPr>
              <w:t xml:space="preserve"> aplik</w:t>
            </w:r>
            <w:r w:rsidRPr="00F81054">
              <w:rPr>
                <w:rFonts w:hint="eastAsia"/>
                <w:i/>
                <w:iCs/>
              </w:rPr>
              <w:t>á</w:t>
            </w:r>
            <w:r w:rsidRPr="00F81054">
              <w:rPr>
                <w:i/>
                <w:iCs/>
              </w:rPr>
              <w:t>ciu. T</w:t>
            </w:r>
            <w:r w:rsidRPr="00F81054">
              <w:rPr>
                <w:rFonts w:hint="eastAsia"/>
                <w:i/>
                <w:iCs/>
              </w:rPr>
              <w:t>á</w:t>
            </w:r>
            <w:r w:rsidRPr="00F81054">
              <w:rPr>
                <w:i/>
                <w:iCs/>
              </w:rPr>
              <w:t>to aplik</w:t>
            </w:r>
            <w:r w:rsidRPr="00F81054">
              <w:rPr>
                <w:rFonts w:hint="eastAsia"/>
                <w:i/>
                <w:iCs/>
              </w:rPr>
              <w:t>á</w:t>
            </w:r>
            <w:r w:rsidRPr="00F81054">
              <w:rPr>
                <w:i/>
                <w:iCs/>
              </w:rPr>
              <w:t>cia bude optimalizovan</w:t>
            </w:r>
            <w:r w:rsidRPr="00F81054">
              <w:rPr>
                <w:rFonts w:hint="eastAsia"/>
                <w:i/>
                <w:iCs/>
              </w:rPr>
              <w:t>á</w:t>
            </w:r>
            <w:r w:rsidRPr="00F81054">
              <w:rPr>
                <w:i/>
                <w:iCs/>
              </w:rPr>
              <w:t xml:space="preserve"> pre mobiln</w:t>
            </w:r>
            <w:r w:rsidRPr="00F81054">
              <w:rPr>
                <w:rFonts w:hint="eastAsia"/>
                <w:i/>
                <w:iCs/>
              </w:rPr>
              <w:t>é</w:t>
            </w:r>
            <w:r w:rsidRPr="00F81054">
              <w:rPr>
                <w:i/>
                <w:iCs/>
              </w:rPr>
              <w:t xml:space="preserve"> zariadenia, </w:t>
            </w:r>
            <w:r w:rsidRPr="00F81054">
              <w:rPr>
                <w:rFonts w:hint="eastAsia"/>
                <w:i/>
                <w:iCs/>
              </w:rPr>
              <w:t>č</w:t>
            </w:r>
            <w:r w:rsidRPr="00F81054">
              <w:rPr>
                <w:i/>
                <w:iCs/>
              </w:rPr>
              <w:t>o umo</w:t>
            </w:r>
            <w:r w:rsidRPr="00F81054">
              <w:rPr>
                <w:rFonts w:hint="eastAsia"/>
                <w:i/>
                <w:iCs/>
              </w:rPr>
              <w:t>ž</w:t>
            </w:r>
            <w:r w:rsidRPr="00F81054">
              <w:rPr>
                <w:i/>
                <w:iCs/>
              </w:rPr>
              <w:t>n</w:t>
            </w:r>
            <w:r w:rsidRPr="00F81054">
              <w:rPr>
                <w:rFonts w:hint="eastAsia"/>
                <w:i/>
                <w:iCs/>
              </w:rPr>
              <w:t>í</w:t>
            </w:r>
            <w:r w:rsidRPr="00F81054">
              <w:rPr>
                <w:i/>
                <w:iCs/>
              </w:rPr>
              <w:t xml:space="preserve"> jednoduch</w:t>
            </w:r>
            <w:r w:rsidRPr="00F81054">
              <w:rPr>
                <w:rFonts w:hint="eastAsia"/>
                <w:i/>
                <w:iCs/>
              </w:rPr>
              <w:t>ý</w:t>
            </w:r>
            <w:r w:rsidRPr="00F81054">
              <w:rPr>
                <w:i/>
                <w:iCs/>
              </w:rPr>
              <w:t xml:space="preserve"> pr</w:t>
            </w:r>
            <w:r w:rsidRPr="00F81054">
              <w:rPr>
                <w:rFonts w:hint="eastAsia"/>
                <w:i/>
                <w:iCs/>
              </w:rPr>
              <w:t>í</w:t>
            </w:r>
            <w:r w:rsidRPr="00F81054">
              <w:rPr>
                <w:i/>
                <w:iCs/>
              </w:rPr>
              <w:t>stup ku v</w:t>
            </w:r>
            <w:r w:rsidRPr="00F81054">
              <w:rPr>
                <w:rFonts w:hint="eastAsia"/>
                <w:i/>
                <w:iCs/>
              </w:rPr>
              <w:t>š</w:t>
            </w:r>
            <w:r w:rsidRPr="00F81054">
              <w:rPr>
                <w:i/>
                <w:iCs/>
              </w:rPr>
              <w:t>etk</w:t>
            </w:r>
            <w:r w:rsidRPr="00F81054">
              <w:rPr>
                <w:rFonts w:hint="eastAsia"/>
                <w:i/>
                <w:iCs/>
              </w:rPr>
              <w:t>ý</w:t>
            </w:r>
            <w:r w:rsidRPr="00F81054">
              <w:rPr>
                <w:i/>
                <w:iCs/>
              </w:rPr>
              <w:t>m funkci</w:t>
            </w:r>
            <w:r w:rsidRPr="00F81054">
              <w:rPr>
                <w:rFonts w:hint="eastAsia"/>
                <w:i/>
                <w:iCs/>
              </w:rPr>
              <w:t>á</w:t>
            </w:r>
            <w:r w:rsidRPr="00F81054">
              <w:rPr>
                <w:i/>
                <w:iCs/>
              </w:rPr>
              <w:t>m syst</w:t>
            </w:r>
            <w:r w:rsidRPr="00F81054">
              <w:rPr>
                <w:rFonts w:hint="eastAsia"/>
                <w:i/>
                <w:iCs/>
              </w:rPr>
              <w:t>é</w:t>
            </w:r>
            <w:r w:rsidRPr="00F81054">
              <w:rPr>
                <w:i/>
                <w:iCs/>
              </w:rPr>
              <w:t>mu, vr</w:t>
            </w:r>
            <w:r w:rsidRPr="00F81054">
              <w:rPr>
                <w:rFonts w:hint="eastAsia"/>
                <w:i/>
                <w:iCs/>
              </w:rPr>
              <w:t>á</w:t>
            </w:r>
            <w:r w:rsidRPr="00F81054">
              <w:rPr>
                <w:i/>
                <w:iCs/>
              </w:rPr>
              <w:t>tane</w:t>
            </w:r>
            <w:r>
              <w:rPr>
                <w:i/>
                <w:iCs/>
              </w:rPr>
              <w:t xml:space="preserve"> </w:t>
            </w:r>
            <w:r w:rsidRPr="00F81054">
              <w:rPr>
                <w:i/>
                <w:iCs/>
              </w:rPr>
              <w:t>n</w:t>
            </w:r>
            <w:r w:rsidRPr="00F81054">
              <w:rPr>
                <w:rFonts w:hint="eastAsia"/>
                <w:i/>
                <w:iCs/>
              </w:rPr>
              <w:t>á</w:t>
            </w:r>
            <w:r w:rsidRPr="00F81054">
              <w:rPr>
                <w:i/>
                <w:iCs/>
              </w:rPr>
              <w:t>kupu l</w:t>
            </w:r>
            <w:r w:rsidRPr="00F81054">
              <w:rPr>
                <w:rFonts w:hint="eastAsia"/>
                <w:i/>
                <w:iCs/>
              </w:rPr>
              <w:t>í</w:t>
            </w:r>
            <w:r w:rsidRPr="00F81054">
              <w:rPr>
                <w:i/>
                <w:iCs/>
              </w:rPr>
              <w:t>stkov, pl</w:t>
            </w:r>
            <w:r w:rsidRPr="00F81054">
              <w:rPr>
                <w:rFonts w:hint="eastAsia"/>
                <w:i/>
                <w:iCs/>
              </w:rPr>
              <w:t>á</w:t>
            </w:r>
            <w:r w:rsidRPr="00F81054">
              <w:rPr>
                <w:i/>
                <w:iCs/>
              </w:rPr>
              <w:t>novania tr</w:t>
            </w:r>
            <w:r w:rsidRPr="00F81054">
              <w:rPr>
                <w:rFonts w:hint="eastAsia"/>
                <w:i/>
                <w:iCs/>
              </w:rPr>
              <w:t>á</w:t>
            </w:r>
            <w:r w:rsidRPr="00F81054">
              <w:rPr>
                <w:i/>
                <w:iCs/>
              </w:rPr>
              <w:t>s a prij</w:t>
            </w:r>
            <w:r w:rsidRPr="00F81054">
              <w:rPr>
                <w:rFonts w:hint="eastAsia"/>
                <w:i/>
                <w:iCs/>
              </w:rPr>
              <w:t>í</w:t>
            </w:r>
            <w:r w:rsidRPr="00F81054">
              <w:rPr>
                <w:i/>
                <w:iCs/>
              </w:rPr>
              <w:t>mania notifik</w:t>
            </w:r>
            <w:r w:rsidRPr="00F81054">
              <w:rPr>
                <w:rFonts w:hint="eastAsia"/>
                <w:i/>
                <w:iCs/>
              </w:rPr>
              <w:t>á</w:t>
            </w:r>
            <w:r w:rsidRPr="00F81054">
              <w:rPr>
                <w:i/>
                <w:iCs/>
              </w:rPr>
              <w:t>ci</w:t>
            </w:r>
            <w:r w:rsidRPr="00F81054">
              <w:rPr>
                <w:rFonts w:hint="eastAsia"/>
                <w:i/>
                <w:iCs/>
              </w:rPr>
              <w:t>í</w:t>
            </w:r>
            <w:r w:rsidRPr="00F81054">
              <w:rPr>
                <w:i/>
                <w:iCs/>
              </w:rPr>
              <w:t>.</w:t>
            </w:r>
          </w:p>
          <w:p w14:paraId="4CCF99CD" w14:textId="383CB367" w:rsidR="00F81054" w:rsidRPr="00415A0B" w:rsidRDefault="00F81054" w:rsidP="00F81054">
            <w:pPr>
              <w:rPr>
                <w:i/>
                <w:iCs/>
              </w:rPr>
            </w:pPr>
            <w:r w:rsidRPr="00F81054">
              <w:rPr>
                <w:i/>
                <w:iCs/>
              </w:rPr>
              <w:t>Projekt NICL prin</w:t>
            </w:r>
            <w:r w:rsidRPr="00F81054">
              <w:rPr>
                <w:rFonts w:hint="eastAsia"/>
                <w:i/>
                <w:iCs/>
              </w:rPr>
              <w:t>áš</w:t>
            </w:r>
            <w:r w:rsidRPr="00F81054">
              <w:rPr>
                <w:i/>
                <w:iCs/>
              </w:rPr>
              <w:t>a modern</w:t>
            </w:r>
            <w:r w:rsidRPr="00F81054">
              <w:rPr>
                <w:rFonts w:hint="eastAsia"/>
                <w:i/>
                <w:iCs/>
              </w:rPr>
              <w:t>é</w:t>
            </w:r>
            <w:r w:rsidRPr="00F81054">
              <w:rPr>
                <w:i/>
                <w:iCs/>
              </w:rPr>
              <w:t xml:space="preserve"> technologick</w:t>
            </w:r>
            <w:r w:rsidRPr="00F81054">
              <w:rPr>
                <w:rFonts w:hint="eastAsia"/>
                <w:i/>
                <w:iCs/>
              </w:rPr>
              <w:t>é</w:t>
            </w:r>
            <w:r w:rsidRPr="00F81054">
              <w:rPr>
                <w:i/>
                <w:iCs/>
              </w:rPr>
              <w:t xml:space="preserve"> rie</w:t>
            </w:r>
            <w:r w:rsidRPr="00F81054">
              <w:rPr>
                <w:rFonts w:hint="eastAsia"/>
                <w:i/>
                <w:iCs/>
              </w:rPr>
              <w:t>š</w:t>
            </w:r>
            <w:r w:rsidRPr="00F81054">
              <w:rPr>
                <w:i/>
                <w:iCs/>
              </w:rPr>
              <w:t>enia, ktor</w:t>
            </w:r>
            <w:r w:rsidRPr="00F81054">
              <w:rPr>
                <w:rFonts w:hint="eastAsia"/>
                <w:i/>
                <w:iCs/>
              </w:rPr>
              <w:t>é</w:t>
            </w:r>
            <w:r w:rsidRPr="00F81054">
              <w:rPr>
                <w:i/>
                <w:iCs/>
              </w:rPr>
              <w:t xml:space="preserve"> nielen zvy</w:t>
            </w:r>
            <w:r w:rsidRPr="00F81054">
              <w:rPr>
                <w:rFonts w:hint="eastAsia"/>
                <w:i/>
                <w:iCs/>
              </w:rPr>
              <w:t>š</w:t>
            </w:r>
            <w:r w:rsidRPr="00F81054">
              <w:rPr>
                <w:i/>
                <w:iCs/>
              </w:rPr>
              <w:t>uj</w:t>
            </w:r>
            <w:r w:rsidRPr="00F81054">
              <w:rPr>
                <w:rFonts w:hint="eastAsia"/>
                <w:i/>
                <w:iCs/>
              </w:rPr>
              <w:t>ú</w:t>
            </w:r>
            <w:r w:rsidRPr="00F81054">
              <w:rPr>
                <w:i/>
                <w:iCs/>
              </w:rPr>
              <w:t xml:space="preserve"> komfort a efektivitu pre cestuj</w:t>
            </w:r>
            <w:r w:rsidRPr="00F81054">
              <w:rPr>
                <w:rFonts w:hint="eastAsia"/>
                <w:i/>
                <w:iCs/>
              </w:rPr>
              <w:t>ú</w:t>
            </w:r>
            <w:r w:rsidRPr="00F81054">
              <w:rPr>
                <w:i/>
                <w:iCs/>
              </w:rPr>
              <w:t>cich, ale z</w:t>
            </w:r>
            <w:r w:rsidRPr="00F81054">
              <w:rPr>
                <w:rFonts w:hint="eastAsia"/>
                <w:i/>
                <w:iCs/>
              </w:rPr>
              <w:t>á</w:t>
            </w:r>
            <w:r w:rsidRPr="00F81054">
              <w:rPr>
                <w:i/>
                <w:iCs/>
              </w:rPr>
              <w:t>rove</w:t>
            </w:r>
            <w:r w:rsidRPr="00F81054">
              <w:rPr>
                <w:rFonts w:hint="eastAsia"/>
                <w:i/>
                <w:iCs/>
              </w:rPr>
              <w:t>ň</w:t>
            </w:r>
            <w:r w:rsidRPr="00F81054">
              <w:rPr>
                <w:i/>
                <w:iCs/>
              </w:rPr>
              <w:t xml:space="preserve"> poskytuj</w:t>
            </w:r>
            <w:r w:rsidRPr="00F81054">
              <w:rPr>
                <w:rFonts w:hint="eastAsia"/>
                <w:i/>
                <w:iCs/>
              </w:rPr>
              <w:t>ú</w:t>
            </w:r>
            <w:r w:rsidRPr="00F81054">
              <w:rPr>
                <w:i/>
                <w:iCs/>
              </w:rPr>
              <w:t xml:space="preserve"> hodnotn</w:t>
            </w:r>
            <w:r w:rsidRPr="00F81054">
              <w:rPr>
                <w:rFonts w:hint="eastAsia"/>
                <w:i/>
                <w:iCs/>
              </w:rPr>
              <w:t>é</w:t>
            </w:r>
            <w:r w:rsidRPr="00F81054">
              <w:rPr>
                <w:i/>
                <w:iCs/>
              </w:rPr>
              <w:t xml:space="preserve"> d</w:t>
            </w:r>
            <w:r w:rsidRPr="00F81054">
              <w:rPr>
                <w:rFonts w:hint="eastAsia"/>
                <w:i/>
                <w:iCs/>
              </w:rPr>
              <w:t>á</w:t>
            </w:r>
            <w:r w:rsidRPr="00F81054">
              <w:rPr>
                <w:i/>
                <w:iCs/>
              </w:rPr>
              <w:t>ta pre</w:t>
            </w:r>
            <w:r>
              <w:rPr>
                <w:i/>
                <w:iCs/>
              </w:rPr>
              <w:t xml:space="preserve"> </w:t>
            </w:r>
            <w:r w:rsidRPr="00F81054">
              <w:rPr>
                <w:i/>
                <w:iCs/>
              </w:rPr>
              <w:t>zlep</w:t>
            </w:r>
            <w:r w:rsidRPr="00F81054">
              <w:rPr>
                <w:rFonts w:hint="eastAsia"/>
                <w:i/>
                <w:iCs/>
              </w:rPr>
              <w:t>š</w:t>
            </w:r>
            <w:r w:rsidRPr="00F81054">
              <w:rPr>
                <w:i/>
                <w:iCs/>
              </w:rPr>
              <w:t>ovanie a optimaliz</w:t>
            </w:r>
            <w:r w:rsidRPr="00F81054">
              <w:rPr>
                <w:rFonts w:hint="eastAsia"/>
                <w:i/>
                <w:iCs/>
              </w:rPr>
              <w:t>á</w:t>
            </w:r>
            <w:r w:rsidRPr="00F81054">
              <w:rPr>
                <w:i/>
                <w:iCs/>
              </w:rPr>
              <w:t>ciu verejnej dopravy na Slovensku. Vyu</w:t>
            </w:r>
            <w:r w:rsidRPr="00F81054">
              <w:rPr>
                <w:rFonts w:hint="eastAsia"/>
                <w:i/>
                <w:iCs/>
              </w:rPr>
              <w:t>ž</w:t>
            </w:r>
            <w:r w:rsidRPr="00F81054">
              <w:rPr>
                <w:i/>
                <w:iCs/>
              </w:rPr>
              <w:t>itie Bluetooth technol</w:t>
            </w:r>
            <w:r w:rsidRPr="00F81054">
              <w:rPr>
                <w:rFonts w:hint="eastAsia"/>
                <w:i/>
                <w:iCs/>
              </w:rPr>
              <w:t>ó</w:t>
            </w:r>
            <w:r w:rsidRPr="00F81054">
              <w:rPr>
                <w:i/>
                <w:iCs/>
              </w:rPr>
              <w:t>gie pre PAYG cestovanie v MHD je k</w:t>
            </w:r>
            <w:r w:rsidRPr="00F81054">
              <w:rPr>
                <w:rFonts w:hint="eastAsia"/>
                <w:i/>
                <w:iCs/>
              </w:rPr>
              <w:t>ľúč</w:t>
            </w:r>
            <w:r w:rsidRPr="00F81054">
              <w:rPr>
                <w:i/>
                <w:iCs/>
              </w:rPr>
              <w:t>ov</w:t>
            </w:r>
            <w:r w:rsidRPr="00F81054">
              <w:rPr>
                <w:rFonts w:hint="eastAsia"/>
                <w:i/>
                <w:iCs/>
              </w:rPr>
              <w:t>ý</w:t>
            </w:r>
            <w:r w:rsidRPr="00F81054">
              <w:rPr>
                <w:i/>
                <w:iCs/>
              </w:rPr>
              <w:t>m prvkom, ktor</w:t>
            </w:r>
            <w:r w:rsidRPr="00F81054">
              <w:rPr>
                <w:rFonts w:hint="eastAsia"/>
                <w:i/>
                <w:iCs/>
              </w:rPr>
              <w:t>ý</w:t>
            </w:r>
            <w:r>
              <w:rPr>
                <w:i/>
                <w:iCs/>
              </w:rPr>
              <w:t xml:space="preserve"> </w:t>
            </w:r>
            <w:r w:rsidRPr="00F81054">
              <w:rPr>
                <w:i/>
                <w:iCs/>
              </w:rPr>
              <w:t>zjednodu</w:t>
            </w:r>
            <w:r w:rsidRPr="00F81054">
              <w:rPr>
                <w:rFonts w:hint="eastAsia"/>
                <w:i/>
                <w:iCs/>
              </w:rPr>
              <w:t>ší</w:t>
            </w:r>
            <w:r w:rsidRPr="00F81054">
              <w:rPr>
                <w:i/>
                <w:iCs/>
              </w:rPr>
              <w:t xml:space="preserve"> a zautomatizuje proces cestovania. </w:t>
            </w:r>
            <w:r w:rsidRPr="00F81054">
              <w:rPr>
                <w:rFonts w:hint="eastAsia"/>
                <w:i/>
                <w:iCs/>
              </w:rPr>
              <w:t>Š</w:t>
            </w:r>
            <w:r w:rsidRPr="00F81054">
              <w:rPr>
                <w:i/>
                <w:iCs/>
              </w:rPr>
              <w:t>tatistick</w:t>
            </w:r>
            <w:r w:rsidRPr="00F81054">
              <w:rPr>
                <w:rFonts w:hint="eastAsia"/>
                <w:i/>
                <w:iCs/>
              </w:rPr>
              <w:t>é</w:t>
            </w:r>
            <w:r w:rsidRPr="00F81054">
              <w:rPr>
                <w:i/>
                <w:iCs/>
              </w:rPr>
              <w:t xml:space="preserve"> </w:t>
            </w:r>
            <w:r w:rsidRPr="00F81054">
              <w:rPr>
                <w:rFonts w:hint="eastAsia"/>
                <w:i/>
                <w:iCs/>
              </w:rPr>
              <w:t>ú</w:t>
            </w:r>
            <w:r w:rsidRPr="00F81054">
              <w:rPr>
                <w:i/>
                <w:iCs/>
              </w:rPr>
              <w:t>daje z</w:t>
            </w:r>
            <w:r w:rsidRPr="00F81054">
              <w:rPr>
                <w:rFonts w:hint="eastAsia"/>
                <w:i/>
                <w:iCs/>
              </w:rPr>
              <w:t>í</w:t>
            </w:r>
            <w:r w:rsidRPr="00F81054">
              <w:rPr>
                <w:i/>
                <w:iCs/>
              </w:rPr>
              <w:t>skan</w:t>
            </w:r>
            <w:r w:rsidRPr="00F81054">
              <w:rPr>
                <w:rFonts w:hint="eastAsia"/>
                <w:i/>
                <w:iCs/>
              </w:rPr>
              <w:t>é</w:t>
            </w:r>
            <w:r w:rsidRPr="00F81054">
              <w:rPr>
                <w:i/>
                <w:iCs/>
              </w:rPr>
              <w:t xml:space="preserve"> zo syst</w:t>
            </w:r>
            <w:r w:rsidRPr="00F81054">
              <w:rPr>
                <w:rFonts w:hint="eastAsia"/>
                <w:i/>
                <w:iCs/>
              </w:rPr>
              <w:t>é</w:t>
            </w:r>
            <w:r w:rsidRPr="00F81054">
              <w:rPr>
                <w:i/>
                <w:iCs/>
              </w:rPr>
              <w:t>mu NICL umo</w:t>
            </w:r>
            <w:r w:rsidRPr="00F81054">
              <w:rPr>
                <w:rFonts w:hint="eastAsia"/>
                <w:i/>
                <w:iCs/>
              </w:rPr>
              <w:t>ž</w:t>
            </w:r>
            <w:r w:rsidRPr="00F81054">
              <w:rPr>
                <w:i/>
                <w:iCs/>
              </w:rPr>
              <w:t>nia N</w:t>
            </w:r>
            <w:r w:rsidR="00A2504E">
              <w:rPr>
                <w:i/>
                <w:iCs/>
              </w:rPr>
              <w:t>árodnej dopravnej autorite</w:t>
            </w:r>
            <w:r w:rsidRPr="00F81054">
              <w:rPr>
                <w:i/>
                <w:iCs/>
              </w:rPr>
              <w:t xml:space="preserve"> efekt</w:t>
            </w:r>
            <w:r w:rsidRPr="00F81054">
              <w:rPr>
                <w:rFonts w:hint="eastAsia"/>
                <w:i/>
                <w:iCs/>
              </w:rPr>
              <w:t>í</w:t>
            </w:r>
            <w:r w:rsidRPr="00F81054">
              <w:rPr>
                <w:i/>
                <w:iCs/>
              </w:rPr>
              <w:t>vne pl</w:t>
            </w:r>
            <w:r w:rsidRPr="00F81054">
              <w:rPr>
                <w:rFonts w:hint="eastAsia"/>
                <w:i/>
                <w:iCs/>
              </w:rPr>
              <w:t>á</w:t>
            </w:r>
            <w:r w:rsidRPr="00F81054">
              <w:rPr>
                <w:i/>
                <w:iCs/>
              </w:rPr>
              <w:t>nova</w:t>
            </w:r>
            <w:r w:rsidRPr="00F81054">
              <w:rPr>
                <w:rFonts w:hint="eastAsia"/>
                <w:i/>
                <w:iCs/>
              </w:rPr>
              <w:t>ť</w:t>
            </w:r>
            <w:r w:rsidRPr="00F81054">
              <w:rPr>
                <w:i/>
                <w:iCs/>
              </w:rPr>
              <w:t xml:space="preserve"> a riadi</w:t>
            </w:r>
            <w:r w:rsidRPr="00F81054">
              <w:rPr>
                <w:rFonts w:hint="eastAsia"/>
                <w:i/>
                <w:iCs/>
              </w:rPr>
              <w:t>ť</w:t>
            </w:r>
            <w:r w:rsidRPr="00F81054">
              <w:rPr>
                <w:i/>
                <w:iCs/>
              </w:rPr>
              <w:t xml:space="preserve"> verejn</w:t>
            </w:r>
            <w:r w:rsidRPr="00F81054">
              <w:rPr>
                <w:rFonts w:hint="eastAsia"/>
                <w:i/>
                <w:iCs/>
              </w:rPr>
              <w:t>ú</w:t>
            </w:r>
            <w:r w:rsidRPr="00F81054">
              <w:rPr>
                <w:i/>
                <w:iCs/>
              </w:rPr>
              <w:t xml:space="preserve"> dopravu, </w:t>
            </w:r>
            <w:r w:rsidRPr="00F81054">
              <w:rPr>
                <w:rFonts w:hint="eastAsia"/>
                <w:i/>
                <w:iCs/>
              </w:rPr>
              <w:t>č</w:t>
            </w:r>
            <w:r w:rsidRPr="00F81054">
              <w:rPr>
                <w:i/>
                <w:iCs/>
              </w:rPr>
              <w:t>o</w:t>
            </w:r>
            <w:r>
              <w:rPr>
                <w:i/>
                <w:iCs/>
              </w:rPr>
              <w:t xml:space="preserve"> </w:t>
            </w:r>
            <w:r w:rsidRPr="00F81054">
              <w:rPr>
                <w:i/>
                <w:iCs/>
              </w:rPr>
              <w:t>prispeje k tvorbe kvalitn</w:t>
            </w:r>
            <w:r w:rsidRPr="00F81054">
              <w:rPr>
                <w:rFonts w:hint="eastAsia"/>
                <w:i/>
                <w:iCs/>
              </w:rPr>
              <w:t>é</w:t>
            </w:r>
            <w:r w:rsidRPr="00F81054">
              <w:rPr>
                <w:i/>
                <w:iCs/>
              </w:rPr>
              <w:t>ho Pl</w:t>
            </w:r>
            <w:r w:rsidRPr="00F81054">
              <w:rPr>
                <w:rFonts w:hint="eastAsia"/>
                <w:i/>
                <w:iCs/>
              </w:rPr>
              <w:t>á</w:t>
            </w:r>
            <w:r w:rsidRPr="00F81054">
              <w:rPr>
                <w:i/>
                <w:iCs/>
              </w:rPr>
              <w:t>nu n</w:t>
            </w:r>
            <w:r w:rsidRPr="00F81054">
              <w:rPr>
                <w:rFonts w:hint="eastAsia"/>
                <w:i/>
                <w:iCs/>
              </w:rPr>
              <w:t>á</w:t>
            </w:r>
            <w:r w:rsidRPr="00F81054">
              <w:rPr>
                <w:i/>
                <w:iCs/>
              </w:rPr>
              <w:t>rodnej dopravnej obslu</w:t>
            </w:r>
            <w:r w:rsidRPr="00F81054">
              <w:rPr>
                <w:rFonts w:hint="eastAsia"/>
                <w:i/>
                <w:iCs/>
              </w:rPr>
              <w:t>ž</w:t>
            </w:r>
            <w:r w:rsidRPr="00F81054">
              <w:rPr>
                <w:i/>
                <w:iCs/>
              </w:rPr>
              <w:t>nosti a celkov</w:t>
            </w:r>
            <w:r w:rsidRPr="00F81054">
              <w:rPr>
                <w:rFonts w:hint="eastAsia"/>
                <w:i/>
                <w:iCs/>
              </w:rPr>
              <w:t>é</w:t>
            </w:r>
            <w:r w:rsidRPr="00F81054">
              <w:rPr>
                <w:i/>
                <w:iCs/>
              </w:rPr>
              <w:t>mu zv</w:t>
            </w:r>
            <w:r w:rsidRPr="00F81054">
              <w:rPr>
                <w:rFonts w:hint="eastAsia"/>
                <w:i/>
                <w:iCs/>
              </w:rPr>
              <w:t>ýš</w:t>
            </w:r>
            <w:r w:rsidRPr="00F81054">
              <w:rPr>
                <w:i/>
                <w:iCs/>
              </w:rPr>
              <w:t>eniu dostupnosti a kvality verejnej dopravy v celej krajine.</w:t>
            </w:r>
          </w:p>
        </w:tc>
      </w:tr>
      <w:tr w:rsidR="00F72566" w:rsidRPr="00415A0B" w14:paraId="70AA716F" w14:textId="77777777" w:rsidTr="00A2504E">
        <w:trPr>
          <w:trHeight w:val="330"/>
        </w:trPr>
        <w:tc>
          <w:tcPr>
            <w:tcW w:w="5185" w:type="dxa"/>
            <w:hideMark/>
          </w:tcPr>
          <w:p w14:paraId="2E8C7735" w14:textId="77777777" w:rsidR="00F72566" w:rsidRPr="00415A0B" w:rsidRDefault="00F72566" w:rsidP="0021523D">
            <w:pPr>
              <w:rPr>
                <w:b/>
                <w:bCs/>
              </w:rPr>
            </w:pPr>
            <w:r w:rsidRPr="00415A0B">
              <w:rPr>
                <w:b/>
                <w:bCs/>
              </w:rPr>
              <w:t xml:space="preserve">Investičné náklady projektu </w:t>
            </w:r>
            <w:r>
              <w:rPr>
                <w:b/>
                <w:bCs/>
              </w:rPr>
              <w:t>/ TCO*</w:t>
            </w:r>
          </w:p>
        </w:tc>
        <w:tc>
          <w:tcPr>
            <w:tcW w:w="1473" w:type="dxa"/>
            <w:noWrap/>
            <w:vAlign w:val="center"/>
            <w:hideMark/>
          </w:tcPr>
          <w:p w14:paraId="5DC5EB7E" w14:textId="77777777" w:rsidR="00F72566" w:rsidRPr="003A23EC" w:rsidRDefault="00F72566" w:rsidP="0021523D">
            <w:pPr>
              <w:rPr>
                <w:b/>
                <w:bCs/>
                <w:sz w:val="16"/>
                <w:szCs w:val="16"/>
              </w:rPr>
            </w:pPr>
            <w:r w:rsidRPr="003A23EC">
              <w:rPr>
                <w:b/>
                <w:bCs/>
                <w:sz w:val="16"/>
                <w:szCs w:val="16"/>
              </w:rPr>
              <w:t xml:space="preserve">Pôvodná </w:t>
            </w:r>
            <w:r>
              <w:rPr>
                <w:b/>
                <w:bCs/>
                <w:sz w:val="16"/>
                <w:szCs w:val="16"/>
              </w:rPr>
              <w:t>štúdia uskutočniteľnosti</w:t>
            </w:r>
          </w:p>
        </w:tc>
        <w:tc>
          <w:tcPr>
            <w:tcW w:w="1431" w:type="dxa"/>
            <w:noWrap/>
            <w:vAlign w:val="center"/>
            <w:hideMark/>
          </w:tcPr>
          <w:p w14:paraId="0CE8264E" w14:textId="77777777" w:rsidR="00F72566" w:rsidRPr="003A23EC" w:rsidRDefault="00F72566" w:rsidP="0021523D">
            <w:pPr>
              <w:rPr>
                <w:b/>
                <w:bCs/>
                <w:sz w:val="16"/>
                <w:szCs w:val="16"/>
              </w:rPr>
            </w:pPr>
            <w:r w:rsidRPr="003A23EC">
              <w:rPr>
                <w:b/>
                <w:bCs/>
                <w:sz w:val="16"/>
                <w:szCs w:val="16"/>
              </w:rPr>
              <w:t>Aktualizácia</w:t>
            </w:r>
          </w:p>
          <w:p w14:paraId="41123688" w14:textId="77777777" w:rsidR="00F72566" w:rsidRPr="003A23EC" w:rsidRDefault="00F72566" w:rsidP="0021523D">
            <w:pPr>
              <w:rPr>
                <w:b/>
                <w:bCs/>
                <w:sz w:val="16"/>
                <w:szCs w:val="16"/>
              </w:rPr>
            </w:pPr>
            <w:r>
              <w:rPr>
                <w:b/>
                <w:bCs/>
                <w:sz w:val="16"/>
                <w:szCs w:val="16"/>
              </w:rPr>
              <w:t>p</w:t>
            </w:r>
            <w:r w:rsidRPr="003A23EC">
              <w:rPr>
                <w:b/>
                <w:bCs/>
                <w:sz w:val="16"/>
                <w:szCs w:val="16"/>
              </w:rPr>
              <w:t>red VO</w:t>
            </w:r>
          </w:p>
        </w:tc>
        <w:tc>
          <w:tcPr>
            <w:tcW w:w="1129" w:type="dxa"/>
            <w:noWrap/>
            <w:vAlign w:val="center"/>
            <w:hideMark/>
          </w:tcPr>
          <w:p w14:paraId="72C2E216" w14:textId="77777777" w:rsidR="00F72566" w:rsidRPr="003A23EC" w:rsidRDefault="00F72566" w:rsidP="0021523D">
            <w:pPr>
              <w:rPr>
                <w:b/>
                <w:bCs/>
                <w:sz w:val="16"/>
                <w:szCs w:val="16"/>
              </w:rPr>
            </w:pPr>
            <w:r w:rsidRPr="003A23EC">
              <w:rPr>
                <w:b/>
                <w:bCs/>
                <w:sz w:val="16"/>
                <w:szCs w:val="16"/>
              </w:rPr>
              <w:t>Aktualizácia</w:t>
            </w:r>
          </w:p>
          <w:p w14:paraId="3968484D" w14:textId="77777777" w:rsidR="00F72566" w:rsidRPr="003A23EC" w:rsidRDefault="00F72566" w:rsidP="0021523D">
            <w:pPr>
              <w:rPr>
                <w:b/>
                <w:bCs/>
                <w:sz w:val="16"/>
                <w:szCs w:val="16"/>
              </w:rPr>
            </w:pPr>
            <w:r>
              <w:rPr>
                <w:b/>
                <w:bCs/>
                <w:sz w:val="16"/>
                <w:szCs w:val="16"/>
              </w:rPr>
              <w:t>p</w:t>
            </w:r>
            <w:r w:rsidRPr="003A23EC">
              <w:rPr>
                <w:b/>
                <w:bCs/>
                <w:sz w:val="16"/>
                <w:szCs w:val="16"/>
              </w:rPr>
              <w:t>red záväzkom</w:t>
            </w:r>
          </w:p>
        </w:tc>
      </w:tr>
      <w:tr w:rsidR="00F72566" w:rsidRPr="00415A0B" w14:paraId="3B4E85A6" w14:textId="77777777" w:rsidTr="00A2504E">
        <w:trPr>
          <w:trHeight w:val="300"/>
        </w:trPr>
        <w:tc>
          <w:tcPr>
            <w:tcW w:w="5185" w:type="dxa"/>
            <w:hideMark/>
          </w:tcPr>
          <w:p w14:paraId="417E6162" w14:textId="77777777" w:rsidR="00F72566" w:rsidRDefault="00F72566" w:rsidP="0021523D">
            <w:pPr>
              <w:rPr>
                <w:i/>
                <w:sz w:val="18"/>
                <w:szCs w:val="18"/>
              </w:rPr>
            </w:pPr>
            <w:r w:rsidRPr="00415A0B">
              <w:rPr>
                <w:i/>
                <w:iCs/>
              </w:rPr>
              <w:t> </w:t>
            </w:r>
            <w:r w:rsidRPr="0062770E">
              <w:rPr>
                <w:i/>
                <w:sz w:val="18"/>
                <w:szCs w:val="18"/>
              </w:rPr>
              <w:t>Investor uvedie výšku investičných nákladov projektu (bez rezervy)</w:t>
            </w:r>
          </w:p>
          <w:p w14:paraId="55CEA9C2" w14:textId="10A99CE8" w:rsidR="00F81054" w:rsidRPr="00415A0B" w:rsidRDefault="00F81054" w:rsidP="0021523D">
            <w:pPr>
              <w:rPr>
                <w:i/>
                <w:iCs/>
              </w:rPr>
            </w:pPr>
          </w:p>
        </w:tc>
        <w:tc>
          <w:tcPr>
            <w:tcW w:w="1473" w:type="dxa"/>
            <w:noWrap/>
            <w:hideMark/>
          </w:tcPr>
          <w:p w14:paraId="547B138B" w14:textId="7B6343B6" w:rsidR="008A6645" w:rsidRPr="00A2504E" w:rsidRDefault="00F72566" w:rsidP="0021523D">
            <w:pPr>
              <w:rPr>
                <w:sz w:val="18"/>
                <w:szCs w:val="18"/>
              </w:rPr>
            </w:pPr>
            <w:r w:rsidRPr="00A2504E">
              <w:rPr>
                <w:sz w:val="18"/>
                <w:szCs w:val="18"/>
              </w:rPr>
              <w:t> </w:t>
            </w:r>
            <w:r w:rsidR="006C3B8F" w:rsidRPr="00A2504E">
              <w:rPr>
                <w:sz w:val="18"/>
                <w:szCs w:val="18"/>
              </w:rPr>
              <w:t>52 322 050,52</w:t>
            </w:r>
            <w:r w:rsidR="00A2504E" w:rsidRPr="00A2504E">
              <w:rPr>
                <w:sz w:val="18"/>
                <w:szCs w:val="18"/>
              </w:rPr>
              <w:t xml:space="preserve"> </w:t>
            </w:r>
            <w:r w:rsidR="00A2504E" w:rsidRPr="00A2504E">
              <w:rPr>
                <w:rFonts w:cs="Calibri"/>
                <w:color w:val="000000"/>
                <w:sz w:val="18"/>
                <w:szCs w:val="18"/>
              </w:rPr>
              <w:t>€</w:t>
            </w:r>
          </w:p>
          <w:p w14:paraId="745349D2" w14:textId="0C0BE282" w:rsidR="00F72566" w:rsidRPr="00A2504E" w:rsidRDefault="006C3B8F" w:rsidP="0021523D">
            <w:pPr>
              <w:rPr>
                <w:sz w:val="18"/>
                <w:szCs w:val="18"/>
              </w:rPr>
            </w:pPr>
            <w:r w:rsidRPr="00A2504E">
              <w:rPr>
                <w:sz w:val="18"/>
                <w:szCs w:val="18"/>
              </w:rPr>
              <w:t xml:space="preserve"> </w:t>
            </w:r>
            <w:r w:rsidR="00F81054" w:rsidRPr="00A2504E">
              <w:rPr>
                <w:sz w:val="18"/>
                <w:szCs w:val="18"/>
              </w:rPr>
              <w:t xml:space="preserve"> bez DPH</w:t>
            </w:r>
          </w:p>
        </w:tc>
        <w:tc>
          <w:tcPr>
            <w:tcW w:w="1431" w:type="dxa"/>
            <w:noWrap/>
            <w:hideMark/>
          </w:tcPr>
          <w:p w14:paraId="5EC6C10F" w14:textId="18701552" w:rsidR="008A6645" w:rsidRPr="00A2504E" w:rsidRDefault="00407F85" w:rsidP="0021523D">
            <w:pPr>
              <w:rPr>
                <w:sz w:val="18"/>
                <w:szCs w:val="18"/>
              </w:rPr>
            </w:pPr>
            <w:r w:rsidRPr="00A2504E">
              <w:rPr>
                <w:sz w:val="18"/>
                <w:szCs w:val="18"/>
              </w:rPr>
              <w:t>37</w:t>
            </w:r>
            <w:r w:rsidR="008A6645" w:rsidRPr="00A2504E">
              <w:rPr>
                <w:sz w:val="18"/>
                <w:szCs w:val="18"/>
              </w:rPr>
              <w:t> </w:t>
            </w:r>
            <w:r w:rsidRPr="00A2504E">
              <w:rPr>
                <w:sz w:val="18"/>
                <w:szCs w:val="18"/>
              </w:rPr>
              <w:t>116</w:t>
            </w:r>
            <w:r w:rsidR="008A6645" w:rsidRPr="00A2504E">
              <w:rPr>
                <w:sz w:val="18"/>
                <w:szCs w:val="18"/>
              </w:rPr>
              <w:t xml:space="preserve"> </w:t>
            </w:r>
            <w:r w:rsidRPr="00A2504E">
              <w:rPr>
                <w:sz w:val="18"/>
                <w:szCs w:val="18"/>
              </w:rPr>
              <w:t>197,36</w:t>
            </w:r>
            <w:r w:rsidR="00A2504E" w:rsidRPr="00A2504E">
              <w:rPr>
                <w:sz w:val="18"/>
                <w:szCs w:val="18"/>
              </w:rPr>
              <w:t xml:space="preserve"> </w:t>
            </w:r>
            <w:r w:rsidR="00A2504E" w:rsidRPr="00A2504E">
              <w:rPr>
                <w:rFonts w:cs="Calibri"/>
                <w:color w:val="000000"/>
                <w:sz w:val="18"/>
                <w:szCs w:val="18"/>
              </w:rPr>
              <w:t>€</w:t>
            </w:r>
          </w:p>
          <w:p w14:paraId="3A43EF08" w14:textId="59749020" w:rsidR="00F72566" w:rsidRPr="00A2504E" w:rsidRDefault="008A6645" w:rsidP="0021523D">
            <w:pPr>
              <w:rPr>
                <w:sz w:val="18"/>
                <w:szCs w:val="18"/>
              </w:rPr>
            </w:pPr>
            <w:r w:rsidRPr="00A2504E">
              <w:rPr>
                <w:sz w:val="18"/>
                <w:szCs w:val="18"/>
              </w:rPr>
              <w:t xml:space="preserve"> </w:t>
            </w:r>
            <w:r w:rsidR="00F81054" w:rsidRPr="00A2504E">
              <w:rPr>
                <w:sz w:val="18"/>
                <w:szCs w:val="18"/>
              </w:rPr>
              <w:t>bez DPH</w:t>
            </w:r>
          </w:p>
        </w:tc>
        <w:tc>
          <w:tcPr>
            <w:tcW w:w="1129" w:type="dxa"/>
            <w:noWrap/>
            <w:hideMark/>
          </w:tcPr>
          <w:p w14:paraId="5B35D58E" w14:textId="77777777" w:rsidR="00F72566" w:rsidRPr="00415A0B" w:rsidRDefault="00F72566" w:rsidP="0021523D">
            <w:r w:rsidRPr="00415A0B">
              <w:t> </w:t>
            </w:r>
          </w:p>
        </w:tc>
      </w:tr>
      <w:tr w:rsidR="00F72566" w:rsidRPr="00415A0B" w14:paraId="52EA36C1" w14:textId="77777777" w:rsidTr="00A2504E">
        <w:trPr>
          <w:trHeight w:val="330"/>
        </w:trPr>
        <w:tc>
          <w:tcPr>
            <w:tcW w:w="9220" w:type="dxa"/>
            <w:gridSpan w:val="4"/>
            <w:hideMark/>
          </w:tcPr>
          <w:p w14:paraId="4E69FBB5" w14:textId="77777777" w:rsidR="00F72566" w:rsidRPr="00415A0B" w:rsidRDefault="00F72566" w:rsidP="0021523D">
            <w:pPr>
              <w:rPr>
                <w:b/>
                <w:bCs/>
              </w:rPr>
            </w:pPr>
            <w:r w:rsidRPr="00415A0B">
              <w:rPr>
                <w:b/>
                <w:bCs/>
              </w:rPr>
              <w:t>Odôvodnenie zmeny nákladov</w:t>
            </w:r>
          </w:p>
        </w:tc>
      </w:tr>
      <w:tr w:rsidR="00F72566" w:rsidRPr="00415A0B" w14:paraId="7B0AD18D" w14:textId="77777777" w:rsidTr="00A2504E">
        <w:trPr>
          <w:trHeight w:val="344"/>
        </w:trPr>
        <w:tc>
          <w:tcPr>
            <w:tcW w:w="9220" w:type="dxa"/>
            <w:gridSpan w:val="4"/>
            <w:hideMark/>
          </w:tcPr>
          <w:p w14:paraId="64E9AE70" w14:textId="77777777" w:rsidR="00F72566" w:rsidRDefault="00F72566" w:rsidP="0021523D">
            <w:pPr>
              <w:rPr>
                <w:i/>
                <w:sz w:val="18"/>
                <w:szCs w:val="18"/>
              </w:rPr>
            </w:pPr>
            <w:r w:rsidRPr="0062770E">
              <w:rPr>
                <w:i/>
                <w:sz w:val="18"/>
                <w:szCs w:val="18"/>
              </w:rPr>
              <w:t>Investor zdôvodní rozdiel vo výške nákladov (napr. zmenu technického riešenia, nárast cien komodít a pod)</w:t>
            </w:r>
          </w:p>
          <w:p w14:paraId="7E436872" w14:textId="42FAA1A8" w:rsidR="00F81054" w:rsidRPr="0062770E" w:rsidRDefault="00407F85" w:rsidP="0021523D">
            <w:pPr>
              <w:rPr>
                <w:i/>
                <w:sz w:val="18"/>
                <w:szCs w:val="18"/>
              </w:rPr>
            </w:pPr>
            <w:r w:rsidRPr="008A6645">
              <w:rPr>
                <w:i/>
                <w:sz w:val="20"/>
                <w:szCs w:val="20"/>
              </w:rPr>
              <w:t>Sum</w:t>
            </w:r>
            <w:r w:rsidR="00382BAC" w:rsidRPr="008A6645">
              <w:rPr>
                <w:i/>
                <w:sz w:val="20"/>
                <w:szCs w:val="20"/>
              </w:rPr>
              <w:t>a</w:t>
            </w:r>
            <w:r w:rsidRPr="008A6645">
              <w:rPr>
                <w:i/>
                <w:sz w:val="20"/>
                <w:szCs w:val="20"/>
              </w:rPr>
              <w:t xml:space="preserve"> uvedená v bunke „Aktualizácia pre VO“ vyplýva z CBA ktorá bola vypracovaná pre účely MIRRI v zmysle vyhlášky 401/2023</w:t>
            </w:r>
            <w:r w:rsidR="00253708" w:rsidRPr="008A6645">
              <w:rPr>
                <w:i/>
                <w:sz w:val="20"/>
                <w:szCs w:val="20"/>
              </w:rPr>
              <w:t xml:space="preserve"> </w:t>
            </w:r>
            <w:r w:rsidR="00253708" w:rsidRPr="008A6645">
              <w:rPr>
                <w:i/>
                <w:iCs/>
                <w:sz w:val="20"/>
                <w:szCs w:val="20"/>
              </w:rPr>
              <w:t>Z. z. Vyhláška Ministerstva investícií, regionálneho rozvoja a informatizácie Slovenskej republiky o riadení projektov a zmenových požiadaviek v prevádzke informačných technológií verejnej správy</w:t>
            </w:r>
            <w:r w:rsidRPr="008A6645">
              <w:rPr>
                <w:i/>
                <w:sz w:val="20"/>
                <w:szCs w:val="20"/>
              </w:rPr>
              <w:t xml:space="preserve">. Pričom CBA, ktorá bola predmetom hodnotenia UHP menená nebola. </w:t>
            </w:r>
          </w:p>
        </w:tc>
      </w:tr>
      <w:tr w:rsidR="00F72566" w:rsidRPr="00415A0B" w14:paraId="72EC1FF6" w14:textId="77777777" w:rsidTr="00A2504E">
        <w:trPr>
          <w:trHeight w:val="330"/>
        </w:trPr>
        <w:tc>
          <w:tcPr>
            <w:tcW w:w="5185" w:type="dxa"/>
            <w:hideMark/>
          </w:tcPr>
          <w:p w14:paraId="6915FD0A" w14:textId="77777777" w:rsidR="00F72566" w:rsidRPr="00415A0B" w:rsidRDefault="00F72566" w:rsidP="0021523D">
            <w:pPr>
              <w:rPr>
                <w:b/>
                <w:bCs/>
              </w:rPr>
            </w:pPr>
            <w:r w:rsidRPr="00415A0B">
              <w:rPr>
                <w:b/>
                <w:bCs/>
              </w:rPr>
              <w:t xml:space="preserve">Ekonomické prínosy projektu </w:t>
            </w:r>
          </w:p>
        </w:tc>
        <w:tc>
          <w:tcPr>
            <w:tcW w:w="1473" w:type="dxa"/>
            <w:noWrap/>
            <w:vAlign w:val="center"/>
            <w:hideMark/>
          </w:tcPr>
          <w:p w14:paraId="0B995B5A" w14:textId="77777777" w:rsidR="00F72566" w:rsidRPr="00415A0B" w:rsidRDefault="00F72566" w:rsidP="0021523D">
            <w:pPr>
              <w:rPr>
                <w:b/>
                <w:bCs/>
              </w:rPr>
            </w:pPr>
            <w:r w:rsidRPr="003A23EC">
              <w:rPr>
                <w:b/>
                <w:bCs/>
                <w:sz w:val="16"/>
                <w:szCs w:val="16"/>
              </w:rPr>
              <w:t xml:space="preserve">Pôvodná </w:t>
            </w:r>
            <w:r>
              <w:rPr>
                <w:b/>
                <w:bCs/>
                <w:sz w:val="16"/>
                <w:szCs w:val="16"/>
              </w:rPr>
              <w:t>štúdia uskutočniteľnosti</w:t>
            </w:r>
          </w:p>
        </w:tc>
        <w:tc>
          <w:tcPr>
            <w:tcW w:w="1431" w:type="dxa"/>
            <w:noWrap/>
            <w:vAlign w:val="center"/>
            <w:hideMark/>
          </w:tcPr>
          <w:p w14:paraId="155242B2" w14:textId="77777777" w:rsidR="00F72566" w:rsidRPr="003A23EC" w:rsidRDefault="00F72566" w:rsidP="0021523D">
            <w:pPr>
              <w:rPr>
                <w:b/>
                <w:bCs/>
                <w:sz w:val="16"/>
                <w:szCs w:val="16"/>
              </w:rPr>
            </w:pPr>
            <w:r w:rsidRPr="003A23EC">
              <w:rPr>
                <w:b/>
                <w:bCs/>
                <w:sz w:val="16"/>
                <w:szCs w:val="16"/>
              </w:rPr>
              <w:t>Aktualizácia</w:t>
            </w:r>
          </w:p>
          <w:p w14:paraId="0FD56695" w14:textId="77777777" w:rsidR="00F72566" w:rsidRPr="00415A0B" w:rsidRDefault="00F72566" w:rsidP="0021523D">
            <w:pPr>
              <w:rPr>
                <w:b/>
                <w:bCs/>
              </w:rPr>
            </w:pPr>
            <w:r>
              <w:rPr>
                <w:b/>
                <w:bCs/>
                <w:sz w:val="16"/>
                <w:szCs w:val="16"/>
              </w:rPr>
              <w:t>p</w:t>
            </w:r>
            <w:r w:rsidRPr="003A23EC">
              <w:rPr>
                <w:b/>
                <w:bCs/>
                <w:sz w:val="16"/>
                <w:szCs w:val="16"/>
              </w:rPr>
              <w:t>red VO</w:t>
            </w:r>
          </w:p>
        </w:tc>
        <w:tc>
          <w:tcPr>
            <w:tcW w:w="1129" w:type="dxa"/>
            <w:noWrap/>
            <w:vAlign w:val="center"/>
            <w:hideMark/>
          </w:tcPr>
          <w:p w14:paraId="08CD1349" w14:textId="77777777" w:rsidR="00F72566" w:rsidRPr="003A23EC" w:rsidRDefault="00F72566" w:rsidP="0021523D">
            <w:pPr>
              <w:rPr>
                <w:b/>
                <w:bCs/>
                <w:sz w:val="16"/>
                <w:szCs w:val="16"/>
              </w:rPr>
            </w:pPr>
            <w:r w:rsidRPr="003A23EC">
              <w:rPr>
                <w:b/>
                <w:bCs/>
                <w:sz w:val="16"/>
                <w:szCs w:val="16"/>
              </w:rPr>
              <w:t>Aktualizácia</w:t>
            </w:r>
          </w:p>
          <w:p w14:paraId="3E6990FD" w14:textId="77777777" w:rsidR="00F72566" w:rsidRPr="00415A0B" w:rsidRDefault="00F72566" w:rsidP="0021523D">
            <w:pPr>
              <w:rPr>
                <w:b/>
                <w:bCs/>
              </w:rPr>
            </w:pPr>
            <w:r>
              <w:rPr>
                <w:b/>
                <w:bCs/>
                <w:sz w:val="16"/>
                <w:szCs w:val="16"/>
              </w:rPr>
              <w:t>p</w:t>
            </w:r>
            <w:r w:rsidRPr="003A23EC">
              <w:rPr>
                <w:b/>
                <w:bCs/>
                <w:sz w:val="16"/>
                <w:szCs w:val="16"/>
              </w:rPr>
              <w:t>red záväzkom</w:t>
            </w:r>
          </w:p>
        </w:tc>
      </w:tr>
      <w:tr w:rsidR="00F72566" w:rsidRPr="00415A0B" w14:paraId="695427B4" w14:textId="77777777" w:rsidTr="00A2504E">
        <w:trPr>
          <w:trHeight w:val="300"/>
        </w:trPr>
        <w:tc>
          <w:tcPr>
            <w:tcW w:w="5185" w:type="dxa"/>
            <w:hideMark/>
          </w:tcPr>
          <w:p w14:paraId="67930957" w14:textId="77777777" w:rsidR="00F72566" w:rsidRPr="00646D50" w:rsidRDefault="00F72566" w:rsidP="0021523D">
            <w:pPr>
              <w:rPr>
                <w:i/>
                <w:iCs/>
                <w:sz w:val="18"/>
                <w:szCs w:val="18"/>
              </w:rPr>
            </w:pPr>
            <w:r w:rsidRPr="0062770E">
              <w:rPr>
                <w:i/>
                <w:sz w:val="18"/>
                <w:szCs w:val="18"/>
              </w:rPr>
              <w:t>Investor uvedie ekonomické prínosy projektu (diskontované)</w:t>
            </w:r>
          </w:p>
        </w:tc>
        <w:tc>
          <w:tcPr>
            <w:tcW w:w="1473" w:type="dxa"/>
            <w:noWrap/>
            <w:hideMark/>
          </w:tcPr>
          <w:p w14:paraId="7EF2317D" w14:textId="23BC3CDE" w:rsidR="00A2504E" w:rsidRDefault="00F72566" w:rsidP="00A2504E">
            <w:pPr>
              <w:rPr>
                <w:rFonts w:cs="Calibri"/>
                <w:color w:val="000000"/>
                <w:sz w:val="18"/>
                <w:szCs w:val="18"/>
              </w:rPr>
            </w:pPr>
            <w:r w:rsidRPr="00415A0B">
              <w:t> </w:t>
            </w:r>
            <w:r w:rsidR="00A2504E">
              <w:rPr>
                <w:rFonts w:cs="Calibri"/>
                <w:color w:val="000000"/>
                <w:sz w:val="18"/>
                <w:szCs w:val="18"/>
              </w:rPr>
              <w:t>148 101 207,04 €</w:t>
            </w:r>
          </w:p>
          <w:p w14:paraId="7150CE7E" w14:textId="104F75AA" w:rsidR="00285F2A" w:rsidRPr="00415A0B" w:rsidRDefault="00285F2A" w:rsidP="0021523D"/>
          <w:p w14:paraId="0EDA3AE1" w14:textId="0D2576F2" w:rsidR="00F72566" w:rsidRPr="00415A0B" w:rsidRDefault="00F72566" w:rsidP="00285F2A">
            <w:pPr>
              <w:spacing w:after="0" w:line="240" w:lineRule="auto"/>
            </w:pPr>
          </w:p>
        </w:tc>
        <w:tc>
          <w:tcPr>
            <w:tcW w:w="1431" w:type="dxa"/>
            <w:noWrap/>
            <w:hideMark/>
          </w:tcPr>
          <w:p w14:paraId="46290057" w14:textId="77777777" w:rsidR="00A2504E" w:rsidRDefault="00F72566" w:rsidP="00A2504E">
            <w:pPr>
              <w:spacing w:after="0" w:line="240" w:lineRule="auto"/>
              <w:rPr>
                <w:rFonts w:cs="Calibri"/>
                <w:color w:val="000000"/>
                <w:sz w:val="18"/>
                <w:szCs w:val="18"/>
              </w:rPr>
            </w:pPr>
            <w:r w:rsidRPr="00415A0B">
              <w:t> </w:t>
            </w:r>
            <w:r w:rsidR="00A2504E">
              <w:rPr>
                <w:rFonts w:cs="Calibri"/>
                <w:color w:val="000000"/>
                <w:sz w:val="18"/>
                <w:szCs w:val="18"/>
              </w:rPr>
              <w:t>148 101 207,04 €</w:t>
            </w:r>
          </w:p>
          <w:p w14:paraId="528C11FA" w14:textId="2DFED19D" w:rsidR="00285F2A" w:rsidRPr="00415A0B" w:rsidRDefault="00285F2A" w:rsidP="0021523D"/>
          <w:p w14:paraId="65118F45" w14:textId="1FB3DF59" w:rsidR="00F72566" w:rsidRPr="00415A0B" w:rsidRDefault="00F72566" w:rsidP="00285F2A">
            <w:pPr>
              <w:spacing w:after="0" w:line="240" w:lineRule="auto"/>
            </w:pPr>
          </w:p>
        </w:tc>
        <w:tc>
          <w:tcPr>
            <w:tcW w:w="1129" w:type="dxa"/>
            <w:noWrap/>
            <w:hideMark/>
          </w:tcPr>
          <w:p w14:paraId="6DB2397B" w14:textId="77777777" w:rsidR="00F72566" w:rsidRPr="00415A0B" w:rsidRDefault="00F72566" w:rsidP="0021523D">
            <w:r w:rsidRPr="00415A0B">
              <w:t> </w:t>
            </w:r>
          </w:p>
        </w:tc>
      </w:tr>
      <w:tr w:rsidR="00F72566" w:rsidRPr="00415A0B" w14:paraId="54CD2945" w14:textId="77777777" w:rsidTr="00A2504E">
        <w:trPr>
          <w:trHeight w:val="330"/>
        </w:trPr>
        <w:tc>
          <w:tcPr>
            <w:tcW w:w="9220" w:type="dxa"/>
            <w:gridSpan w:val="4"/>
            <w:hideMark/>
          </w:tcPr>
          <w:p w14:paraId="5C8426B1" w14:textId="77777777" w:rsidR="00F72566" w:rsidRPr="00646D50" w:rsidRDefault="00F72566" w:rsidP="0021523D">
            <w:pPr>
              <w:rPr>
                <w:b/>
                <w:bCs/>
              </w:rPr>
            </w:pPr>
            <w:r w:rsidRPr="00646D50">
              <w:rPr>
                <w:b/>
                <w:bCs/>
              </w:rPr>
              <w:t>Odôvodnenie zmeny prínosov</w:t>
            </w:r>
          </w:p>
        </w:tc>
      </w:tr>
      <w:tr w:rsidR="00F72566" w:rsidRPr="00415A0B" w14:paraId="06F97840" w14:textId="77777777" w:rsidTr="00A2504E">
        <w:trPr>
          <w:trHeight w:val="831"/>
        </w:trPr>
        <w:tc>
          <w:tcPr>
            <w:tcW w:w="9220" w:type="dxa"/>
            <w:gridSpan w:val="4"/>
            <w:hideMark/>
          </w:tcPr>
          <w:p w14:paraId="5DB51528" w14:textId="77777777" w:rsidR="00F72566" w:rsidRPr="00415A0B" w:rsidRDefault="00F72566" w:rsidP="0021523D">
            <w:pPr>
              <w:rPr>
                <w:i/>
                <w:iCs/>
              </w:rPr>
            </w:pPr>
            <w:r w:rsidRPr="0062770E">
              <w:rPr>
                <w:i/>
                <w:sz w:val="18"/>
                <w:szCs w:val="18"/>
              </w:rPr>
              <w:lastRenderedPageBreak/>
              <w:t>Investor uvedie odhad ekonomických prínosov projektu, ak sa líšia od pôvodnej štúdie uskutočniteľnosti vzhľadom na zmeny počas ďalšieho procesu (napr. počas posudzovania vplyvov na životné prostredie, vypracovanie dokumentácie pre územné rozhodnutie alebo vypracovanie dokumentácie pre stavebné povolenie) a doloží nový odhad prínosov.</w:t>
            </w:r>
          </w:p>
        </w:tc>
      </w:tr>
      <w:tr w:rsidR="00F72566" w:rsidRPr="00415A0B" w14:paraId="6CBCA18D" w14:textId="77777777" w:rsidTr="00A2504E">
        <w:trPr>
          <w:trHeight w:val="390"/>
        </w:trPr>
        <w:tc>
          <w:tcPr>
            <w:tcW w:w="5185" w:type="dxa"/>
            <w:hideMark/>
          </w:tcPr>
          <w:p w14:paraId="2B86E520" w14:textId="77777777" w:rsidR="00F72566" w:rsidRPr="00646D50" w:rsidRDefault="00F72566" w:rsidP="0021523D">
            <w:pPr>
              <w:rPr>
                <w:b/>
                <w:bCs/>
              </w:rPr>
            </w:pPr>
            <w:r w:rsidRPr="00646D50">
              <w:rPr>
                <w:b/>
                <w:bCs/>
              </w:rPr>
              <w:t>Pomer prínosov a nákladov (BCR)</w:t>
            </w:r>
          </w:p>
        </w:tc>
        <w:tc>
          <w:tcPr>
            <w:tcW w:w="1473" w:type="dxa"/>
            <w:noWrap/>
            <w:vAlign w:val="center"/>
            <w:hideMark/>
          </w:tcPr>
          <w:p w14:paraId="7110C71A" w14:textId="77777777" w:rsidR="00F72566" w:rsidRPr="00646D50" w:rsidRDefault="00F72566" w:rsidP="0021523D">
            <w:pPr>
              <w:rPr>
                <w:b/>
                <w:bCs/>
              </w:rPr>
            </w:pPr>
            <w:r w:rsidRPr="003A23EC">
              <w:rPr>
                <w:b/>
                <w:bCs/>
                <w:sz w:val="16"/>
                <w:szCs w:val="16"/>
              </w:rPr>
              <w:t xml:space="preserve">Pôvodná </w:t>
            </w:r>
            <w:r>
              <w:rPr>
                <w:b/>
                <w:bCs/>
                <w:sz w:val="16"/>
                <w:szCs w:val="16"/>
              </w:rPr>
              <w:t>štúdia uskutočniteľnosti</w:t>
            </w:r>
          </w:p>
        </w:tc>
        <w:tc>
          <w:tcPr>
            <w:tcW w:w="1431" w:type="dxa"/>
            <w:noWrap/>
            <w:vAlign w:val="center"/>
            <w:hideMark/>
          </w:tcPr>
          <w:p w14:paraId="2BB31F6A" w14:textId="77777777" w:rsidR="00F72566" w:rsidRPr="003A23EC" w:rsidRDefault="00F72566" w:rsidP="0021523D">
            <w:pPr>
              <w:rPr>
                <w:b/>
                <w:bCs/>
                <w:sz w:val="16"/>
                <w:szCs w:val="16"/>
              </w:rPr>
            </w:pPr>
            <w:r w:rsidRPr="003A23EC">
              <w:rPr>
                <w:b/>
                <w:bCs/>
                <w:sz w:val="16"/>
                <w:szCs w:val="16"/>
              </w:rPr>
              <w:t>Aktualizácia</w:t>
            </w:r>
          </w:p>
          <w:p w14:paraId="11C8FFCD" w14:textId="77777777" w:rsidR="00F72566" w:rsidRPr="00646D50" w:rsidRDefault="00F72566" w:rsidP="0021523D">
            <w:pPr>
              <w:rPr>
                <w:b/>
                <w:bCs/>
              </w:rPr>
            </w:pPr>
            <w:r>
              <w:rPr>
                <w:b/>
                <w:bCs/>
                <w:sz w:val="16"/>
                <w:szCs w:val="16"/>
              </w:rPr>
              <w:t>p</w:t>
            </w:r>
            <w:r w:rsidRPr="003A23EC">
              <w:rPr>
                <w:b/>
                <w:bCs/>
                <w:sz w:val="16"/>
                <w:szCs w:val="16"/>
              </w:rPr>
              <w:t>red VO</w:t>
            </w:r>
          </w:p>
        </w:tc>
        <w:tc>
          <w:tcPr>
            <w:tcW w:w="1129" w:type="dxa"/>
            <w:noWrap/>
            <w:vAlign w:val="center"/>
            <w:hideMark/>
          </w:tcPr>
          <w:p w14:paraId="670A0A3A" w14:textId="77777777" w:rsidR="00F72566" w:rsidRPr="003A23EC" w:rsidRDefault="00F72566" w:rsidP="0021523D">
            <w:pPr>
              <w:rPr>
                <w:b/>
                <w:bCs/>
                <w:sz w:val="16"/>
                <w:szCs w:val="16"/>
              </w:rPr>
            </w:pPr>
            <w:r w:rsidRPr="003A23EC">
              <w:rPr>
                <w:b/>
                <w:bCs/>
                <w:sz w:val="16"/>
                <w:szCs w:val="16"/>
              </w:rPr>
              <w:t>Aktualizácia</w:t>
            </w:r>
          </w:p>
          <w:p w14:paraId="07373A1A" w14:textId="77777777" w:rsidR="00F72566" w:rsidRPr="00646D50" w:rsidRDefault="00F72566" w:rsidP="0021523D">
            <w:pPr>
              <w:rPr>
                <w:b/>
                <w:bCs/>
              </w:rPr>
            </w:pPr>
            <w:r>
              <w:rPr>
                <w:b/>
                <w:bCs/>
                <w:sz w:val="16"/>
                <w:szCs w:val="16"/>
              </w:rPr>
              <w:t>p</w:t>
            </w:r>
            <w:r w:rsidRPr="003A23EC">
              <w:rPr>
                <w:b/>
                <w:bCs/>
                <w:sz w:val="16"/>
                <w:szCs w:val="16"/>
              </w:rPr>
              <w:t>red záväzkom</w:t>
            </w:r>
          </w:p>
        </w:tc>
      </w:tr>
      <w:tr w:rsidR="00F72566" w:rsidRPr="00415A0B" w14:paraId="57512663" w14:textId="77777777" w:rsidTr="00A2504E">
        <w:trPr>
          <w:trHeight w:val="375"/>
        </w:trPr>
        <w:tc>
          <w:tcPr>
            <w:tcW w:w="5185" w:type="dxa"/>
            <w:hideMark/>
          </w:tcPr>
          <w:p w14:paraId="1B8EA193" w14:textId="77777777" w:rsidR="00F72566" w:rsidRPr="00415A0B" w:rsidRDefault="00F72566" w:rsidP="0021523D">
            <w:pPr>
              <w:rPr>
                <w:i/>
                <w:iCs/>
              </w:rPr>
            </w:pPr>
            <w:r w:rsidRPr="00415A0B">
              <w:rPr>
                <w:i/>
                <w:iCs/>
              </w:rPr>
              <w:t> </w:t>
            </w:r>
            <w:r w:rsidRPr="0062770E">
              <w:rPr>
                <w:i/>
                <w:sz w:val="18"/>
                <w:szCs w:val="18"/>
              </w:rPr>
              <w:t>Investor uvedie BCR projektu</w:t>
            </w:r>
          </w:p>
        </w:tc>
        <w:tc>
          <w:tcPr>
            <w:tcW w:w="1473" w:type="dxa"/>
            <w:hideMark/>
          </w:tcPr>
          <w:p w14:paraId="49D947EA" w14:textId="34666B0E" w:rsidR="00F72566" w:rsidRPr="00253708" w:rsidRDefault="00F72566" w:rsidP="0021523D">
            <w:r w:rsidRPr="00253708">
              <w:t> </w:t>
            </w:r>
          </w:p>
        </w:tc>
        <w:tc>
          <w:tcPr>
            <w:tcW w:w="1431" w:type="dxa"/>
            <w:hideMark/>
          </w:tcPr>
          <w:p w14:paraId="2FA8A8BC" w14:textId="5825B4DA" w:rsidR="00F72566" w:rsidRPr="00253708" w:rsidRDefault="00F72566" w:rsidP="0021523D">
            <w:r w:rsidRPr="00253708">
              <w:t> </w:t>
            </w:r>
          </w:p>
        </w:tc>
        <w:tc>
          <w:tcPr>
            <w:tcW w:w="1129" w:type="dxa"/>
            <w:hideMark/>
          </w:tcPr>
          <w:p w14:paraId="745E0E22" w14:textId="77777777" w:rsidR="00F72566" w:rsidRPr="00415A0B" w:rsidRDefault="00F72566" w:rsidP="0021523D">
            <w:pPr>
              <w:rPr>
                <w:i/>
                <w:iCs/>
              </w:rPr>
            </w:pPr>
            <w:r w:rsidRPr="00415A0B">
              <w:rPr>
                <w:i/>
                <w:iCs/>
              </w:rPr>
              <w:t> </w:t>
            </w:r>
          </w:p>
        </w:tc>
      </w:tr>
      <w:tr w:rsidR="00F72566" w:rsidRPr="00415A0B" w14:paraId="61ED9A06" w14:textId="77777777" w:rsidTr="00A2504E">
        <w:trPr>
          <w:trHeight w:val="330"/>
        </w:trPr>
        <w:tc>
          <w:tcPr>
            <w:tcW w:w="9220" w:type="dxa"/>
            <w:gridSpan w:val="4"/>
            <w:hideMark/>
          </w:tcPr>
          <w:p w14:paraId="5F3A7D81" w14:textId="77777777" w:rsidR="00F72566" w:rsidRPr="00646D50" w:rsidRDefault="00F72566" w:rsidP="0021523D">
            <w:pPr>
              <w:rPr>
                <w:b/>
                <w:bCs/>
              </w:rPr>
            </w:pPr>
            <w:r w:rsidRPr="00646D50">
              <w:rPr>
                <w:b/>
                <w:bCs/>
              </w:rPr>
              <w:t xml:space="preserve">Odpočet zapracovania odporúčaní MF SR </w:t>
            </w:r>
          </w:p>
        </w:tc>
      </w:tr>
      <w:tr w:rsidR="00F72566" w:rsidRPr="00415A0B" w14:paraId="30335FD0" w14:textId="77777777" w:rsidTr="00A2504E">
        <w:trPr>
          <w:trHeight w:val="510"/>
        </w:trPr>
        <w:tc>
          <w:tcPr>
            <w:tcW w:w="9220" w:type="dxa"/>
            <w:gridSpan w:val="4"/>
            <w:hideMark/>
          </w:tcPr>
          <w:p w14:paraId="35F179F3" w14:textId="77777777" w:rsidR="00F72566" w:rsidRDefault="00F72566" w:rsidP="0021523D">
            <w:pPr>
              <w:rPr>
                <w:i/>
                <w:sz w:val="18"/>
                <w:szCs w:val="18"/>
              </w:rPr>
            </w:pPr>
            <w:r w:rsidRPr="0062770E">
              <w:rPr>
                <w:i/>
                <w:sz w:val="18"/>
                <w:szCs w:val="18"/>
              </w:rPr>
              <w:t>Investor uvedie odpočet zapracovania odporúčaní MF SR vyplývajúcich z predošlého hodnotenia projektu na základe aktualizovanej štúdie uskutočniteľnosti</w:t>
            </w:r>
          </w:p>
          <w:p w14:paraId="762EE10E" w14:textId="20E96033" w:rsidR="00253708" w:rsidRDefault="00253708" w:rsidP="00253708">
            <w:pPr>
              <w:numPr>
                <w:ilvl w:val="1"/>
                <w:numId w:val="2"/>
              </w:numPr>
              <w:rPr>
                <w:i/>
                <w:iCs/>
              </w:rPr>
            </w:pPr>
            <w:r w:rsidRPr="00253708">
              <w:rPr>
                <w:i/>
                <w:iCs/>
              </w:rPr>
              <w:t>o</w:t>
            </w:r>
            <w:r w:rsidRPr="00253708">
              <w:rPr>
                <w:i/>
                <w:iCs/>
              </w:rPr>
              <w:t xml:space="preserve"> </w:t>
            </w:r>
            <w:r w:rsidRPr="00253708">
              <w:rPr>
                <w:i/>
                <w:iCs/>
              </w:rPr>
              <w:t xml:space="preserve">Zvážiť možnosť výberu hotového technologického riešenia vrátane nutných úprav tak, aby bol splnený cieľ míľnika Plánu obnovy v záväznom termíne do júna 2026. </w:t>
            </w:r>
          </w:p>
          <w:p w14:paraId="3CF029C1" w14:textId="50597DF8" w:rsidR="00253708" w:rsidRPr="00253708" w:rsidRDefault="00253708" w:rsidP="00253708">
            <w:pPr>
              <w:numPr>
                <w:ilvl w:val="1"/>
                <w:numId w:val="2"/>
              </w:numPr>
              <w:ind w:left="451"/>
              <w:rPr>
                <w:i/>
                <w:iCs/>
              </w:rPr>
            </w:pPr>
            <w:r w:rsidRPr="00253708">
              <w:rPr>
                <w:i/>
                <w:iCs/>
              </w:rPr>
              <w:t xml:space="preserve">Národná dopravná autorita zvážila </w:t>
            </w:r>
            <w:r w:rsidRPr="00253708">
              <w:rPr>
                <w:i/>
                <w:iCs/>
              </w:rPr>
              <w:t>možnosť výberu hotového technologického riešenia vrátane nutných úprav</w:t>
            </w:r>
            <w:r w:rsidRPr="00253708">
              <w:rPr>
                <w:i/>
                <w:iCs/>
              </w:rPr>
              <w:t xml:space="preserve">, pričom nebude vyberať hotové technologické riešenia, ale technické riešenie bude dodané na základe verejného obstarávania. </w:t>
            </w:r>
          </w:p>
          <w:p w14:paraId="7F7CC56D" w14:textId="77777777" w:rsidR="00253708" w:rsidRDefault="00253708" w:rsidP="00253708">
            <w:pPr>
              <w:numPr>
                <w:ilvl w:val="1"/>
                <w:numId w:val="2"/>
              </w:numPr>
              <w:rPr>
                <w:i/>
                <w:iCs/>
              </w:rPr>
            </w:pPr>
            <w:r w:rsidRPr="00253708">
              <w:rPr>
                <w:i/>
                <w:iCs/>
              </w:rPr>
              <w:t xml:space="preserve">o Následne prehodnotiť výber preferovanej alternatívy, spresniť výšku jej investičných a prevádzkových nákladov a aktualizovať harmonogram projektu. </w:t>
            </w:r>
          </w:p>
          <w:p w14:paraId="15C9E6E2" w14:textId="1125FAC3" w:rsidR="00253708" w:rsidRPr="00253708" w:rsidRDefault="00253708" w:rsidP="00253708">
            <w:pPr>
              <w:numPr>
                <w:ilvl w:val="1"/>
                <w:numId w:val="2"/>
              </w:numPr>
              <w:ind w:left="451"/>
              <w:rPr>
                <w:i/>
                <w:iCs/>
              </w:rPr>
            </w:pPr>
            <w:r w:rsidRPr="00253708">
              <w:rPr>
                <w:i/>
                <w:iCs/>
              </w:rPr>
              <w:t>Národná dopravná autorita zvážila možnosť výberu hotového technologického riešenia vrátane nutných úprav, pričom nebude vyberať hotové technologické riešeni</w:t>
            </w:r>
            <w:r w:rsidR="008A6645">
              <w:rPr>
                <w:i/>
                <w:iCs/>
              </w:rPr>
              <w:t>e</w:t>
            </w:r>
            <w:r w:rsidRPr="00253708">
              <w:rPr>
                <w:i/>
                <w:iCs/>
              </w:rPr>
              <w:t xml:space="preserve">, ale technické riešenie bude dodané </w:t>
            </w:r>
            <w:r w:rsidR="008A6645">
              <w:rPr>
                <w:i/>
                <w:iCs/>
              </w:rPr>
              <w:br/>
            </w:r>
            <w:r w:rsidRPr="00253708">
              <w:rPr>
                <w:i/>
                <w:iCs/>
              </w:rPr>
              <w:t xml:space="preserve">na základe verejného obstarávania. </w:t>
            </w:r>
          </w:p>
          <w:p w14:paraId="70AEE3CD" w14:textId="77777777" w:rsidR="00253708" w:rsidRDefault="00253708" w:rsidP="00253708">
            <w:pPr>
              <w:numPr>
                <w:ilvl w:val="1"/>
                <w:numId w:val="2"/>
              </w:numPr>
              <w:rPr>
                <w:i/>
                <w:iCs/>
              </w:rPr>
            </w:pPr>
            <w:r w:rsidRPr="00253708">
              <w:rPr>
                <w:i/>
                <w:iCs/>
              </w:rPr>
              <w:t xml:space="preserve">o V prípade realizácie alternatívy, ktorá vyžaduje nákup validačných zariadení, overiť v spolupráci s dopravcami ich počet a časovú náročnosť inštalácie. </w:t>
            </w:r>
          </w:p>
          <w:p w14:paraId="360BAC8B" w14:textId="431061E8" w:rsidR="00253708" w:rsidRPr="00253708" w:rsidRDefault="00253708" w:rsidP="00253708">
            <w:pPr>
              <w:numPr>
                <w:ilvl w:val="1"/>
                <w:numId w:val="2"/>
              </w:numPr>
              <w:ind w:left="451"/>
              <w:rPr>
                <w:i/>
                <w:iCs/>
              </w:rPr>
            </w:pPr>
            <w:r>
              <w:rPr>
                <w:i/>
                <w:iCs/>
              </w:rPr>
              <w:t xml:space="preserve">Nerelevantné, nebude sa realizovať nákup validačných zariadení. </w:t>
            </w:r>
          </w:p>
          <w:p w14:paraId="00661D66" w14:textId="77777777" w:rsidR="00253708" w:rsidRDefault="00253708" w:rsidP="00253708">
            <w:pPr>
              <w:numPr>
                <w:ilvl w:val="1"/>
                <w:numId w:val="2"/>
              </w:numPr>
              <w:rPr>
                <w:i/>
                <w:iCs/>
              </w:rPr>
            </w:pPr>
            <w:r w:rsidRPr="00253708">
              <w:rPr>
                <w:i/>
                <w:iCs/>
              </w:rPr>
              <w:t xml:space="preserve">o V spolupráci s Národnou implementačnou a koordinačnou autoritou overiť a oficiálne potvrdiť možnosť financovania prevádzkových nákladov do júna 2026 (9,5 mil. eur) z prostriedkov Plánu obnovy. </w:t>
            </w:r>
          </w:p>
          <w:p w14:paraId="3554F60D" w14:textId="5D9961D1" w:rsidR="00253708" w:rsidRPr="00015FA9" w:rsidRDefault="00253708" w:rsidP="00015FA9">
            <w:pPr>
              <w:numPr>
                <w:ilvl w:val="1"/>
                <w:numId w:val="2"/>
              </w:numPr>
              <w:ind w:left="451" w:hanging="451"/>
              <w:rPr>
                <w:i/>
                <w:iCs/>
              </w:rPr>
            </w:pPr>
            <w:r w:rsidRPr="00015FA9">
              <w:rPr>
                <w:i/>
                <w:iCs/>
              </w:rPr>
              <w:t xml:space="preserve">V spolupráci s Národnou </w:t>
            </w:r>
            <w:r w:rsidRPr="00253708">
              <w:rPr>
                <w:i/>
                <w:iCs/>
              </w:rPr>
              <w:t>implementačnou a koordinačnou autoritou</w:t>
            </w:r>
            <w:r w:rsidRPr="00015FA9">
              <w:rPr>
                <w:i/>
                <w:iCs/>
              </w:rPr>
              <w:t xml:space="preserve"> ako aj s vykonávateľom Ministerstvom dopravy SR bola vypracovaná Zmluva o poskytnutí prostriedkov mechanizmu na podporu obnovy a odolnosti č. </w:t>
            </w:r>
            <w:r w:rsidR="00674D29" w:rsidRPr="00015FA9">
              <w:rPr>
                <w:i/>
                <w:iCs/>
              </w:rPr>
              <w:t>1523/CB00/2024</w:t>
            </w:r>
            <w:r w:rsidR="00674D29" w:rsidRPr="00015FA9">
              <w:rPr>
                <w:i/>
                <w:iCs/>
              </w:rPr>
              <w:t xml:space="preserve">, </w:t>
            </w:r>
            <w:r w:rsidR="00015FA9" w:rsidRPr="00015FA9">
              <w:rPr>
                <w:i/>
                <w:iCs/>
              </w:rPr>
              <w:t>na základe ktorej sú vytvorené predpoklady pre úspešné procesné a projektové zabezpečenie projektu pri jeho obstaraní a implementácii v priebehu celého trvania projektu.</w:t>
            </w:r>
          </w:p>
          <w:p w14:paraId="733AC20D" w14:textId="77777777" w:rsidR="00253708" w:rsidRPr="00415A0B" w:rsidRDefault="00253708" w:rsidP="0021523D">
            <w:pPr>
              <w:rPr>
                <w:i/>
                <w:iCs/>
              </w:rPr>
            </w:pPr>
          </w:p>
        </w:tc>
      </w:tr>
      <w:tr w:rsidR="00F72566" w:rsidRPr="00415A0B" w14:paraId="2950A917" w14:textId="77777777" w:rsidTr="00A2504E">
        <w:trPr>
          <w:trHeight w:val="330"/>
        </w:trPr>
        <w:tc>
          <w:tcPr>
            <w:tcW w:w="9220" w:type="dxa"/>
            <w:gridSpan w:val="4"/>
            <w:hideMark/>
          </w:tcPr>
          <w:p w14:paraId="3DEF8867" w14:textId="77777777" w:rsidR="00F72566" w:rsidRPr="00646D50" w:rsidRDefault="00F72566" w:rsidP="0021523D">
            <w:pPr>
              <w:rPr>
                <w:b/>
                <w:bCs/>
              </w:rPr>
            </w:pPr>
            <w:r w:rsidRPr="00646D50">
              <w:rPr>
                <w:b/>
                <w:bCs/>
              </w:rPr>
              <w:t>Ďalšie relevantné zmeny projektu oproti pôvodnej štúdií uskutočniteľnosti</w:t>
            </w:r>
          </w:p>
        </w:tc>
      </w:tr>
      <w:tr w:rsidR="00F72566" w:rsidRPr="00415A0B" w14:paraId="6F505D9C" w14:textId="77777777" w:rsidTr="00A2504E">
        <w:trPr>
          <w:trHeight w:val="300"/>
        </w:trPr>
        <w:tc>
          <w:tcPr>
            <w:tcW w:w="9220" w:type="dxa"/>
            <w:gridSpan w:val="4"/>
            <w:hideMark/>
          </w:tcPr>
          <w:p w14:paraId="7E248F65" w14:textId="77777777" w:rsidR="00F72566" w:rsidRDefault="00F72566" w:rsidP="0021523D">
            <w:pPr>
              <w:rPr>
                <w:i/>
                <w:sz w:val="18"/>
                <w:szCs w:val="18"/>
              </w:rPr>
            </w:pPr>
            <w:r w:rsidRPr="0062770E">
              <w:rPr>
                <w:i/>
                <w:sz w:val="18"/>
                <w:szCs w:val="18"/>
              </w:rPr>
              <w:t>Investor uvedie ďalšie relevantné zmeny projektu oproti predpokladom aktualizovanej štúdií uskutočniteľnosti</w:t>
            </w:r>
          </w:p>
          <w:p w14:paraId="1673B0BF" w14:textId="1A96C7AE" w:rsidR="00EB286B" w:rsidRPr="00415A0B" w:rsidRDefault="00EB286B" w:rsidP="0021523D">
            <w:pPr>
              <w:rPr>
                <w:i/>
                <w:iCs/>
              </w:rPr>
            </w:pPr>
            <w:r w:rsidRPr="00A2504E">
              <w:rPr>
                <w:i/>
                <w:iCs/>
              </w:rPr>
              <w:t xml:space="preserve">Národná dopravná autorita (ďalej „NADA“) nemenila pôvodnú </w:t>
            </w:r>
            <w:r w:rsidR="007E0FDD" w:rsidRPr="00A2504E">
              <w:rPr>
                <w:i/>
                <w:iCs/>
              </w:rPr>
              <w:t xml:space="preserve">dokumentáciu </w:t>
            </w:r>
            <w:r w:rsidRPr="00A2504E">
              <w:rPr>
                <w:i/>
                <w:iCs/>
              </w:rPr>
              <w:t>štúdi</w:t>
            </w:r>
            <w:r w:rsidR="007E0FDD" w:rsidRPr="00A2504E">
              <w:rPr>
                <w:i/>
                <w:iCs/>
              </w:rPr>
              <w:t>e</w:t>
            </w:r>
            <w:r w:rsidRPr="00A2504E">
              <w:rPr>
                <w:i/>
                <w:iCs/>
              </w:rPr>
              <w:t xml:space="preserve"> uskutočniteľnosti, ktorá bola predmetom hodnotenia UHP. Následne v súlade s vyhláškou č. 401/2023 Z. z. </w:t>
            </w:r>
            <w:r w:rsidRPr="00A2504E">
              <w:rPr>
                <w:i/>
                <w:iCs/>
              </w:rPr>
              <w:t>Vyhláška Ministerstva investícií, regionálneho rozvoja a</w:t>
            </w:r>
            <w:r w:rsidRPr="00A2504E">
              <w:rPr>
                <w:i/>
                <w:iCs/>
              </w:rPr>
              <w:t> </w:t>
            </w:r>
            <w:r w:rsidRPr="00A2504E">
              <w:rPr>
                <w:i/>
                <w:iCs/>
              </w:rPr>
              <w:t xml:space="preserve">informatizácie Slovenskej republiky o riadení projektov a zmenových požiadaviek </w:t>
            </w:r>
            <w:r w:rsidR="009A176E">
              <w:rPr>
                <w:i/>
                <w:iCs/>
              </w:rPr>
              <w:br/>
            </w:r>
            <w:r w:rsidRPr="00A2504E">
              <w:rPr>
                <w:i/>
                <w:iCs/>
              </w:rPr>
              <w:t>v prevádzke informačných technológií verejnej správy</w:t>
            </w:r>
            <w:r w:rsidRPr="00A2504E">
              <w:rPr>
                <w:i/>
                <w:iCs/>
              </w:rPr>
              <w:t xml:space="preserve"> vypracovala NADA povinné dokumenty pre potreby schvaľovania projektu NICL zo strany </w:t>
            </w:r>
            <w:r w:rsidRPr="00A2504E">
              <w:rPr>
                <w:i/>
                <w:iCs/>
              </w:rPr>
              <w:t>Ministerstva investícií, regionálneho rozvoja a informatizácie Slovenskej republiky</w:t>
            </w:r>
            <w:r w:rsidRPr="00A2504E">
              <w:rPr>
                <w:i/>
                <w:iCs/>
              </w:rPr>
              <w:t xml:space="preserve"> v zmysle príslušnej legislatívy. Všetka predmetná dokumentácia bola vypracovaná v nadväznosti na štúdiu uskutočniteľnosti</w:t>
            </w:r>
            <w:r w:rsidR="007E0FDD" w:rsidRPr="00A2504E">
              <w:rPr>
                <w:i/>
                <w:iCs/>
              </w:rPr>
              <w:t xml:space="preserve">, </w:t>
            </w:r>
            <w:r w:rsidRPr="00A2504E">
              <w:rPr>
                <w:i/>
                <w:iCs/>
              </w:rPr>
              <w:t xml:space="preserve">ku ktorej  UHP vypracovalo hodnotenie s odporúčaniami. </w:t>
            </w:r>
            <w:r w:rsidR="007E0FDD" w:rsidRPr="00A2504E">
              <w:rPr>
                <w:i/>
                <w:iCs/>
              </w:rPr>
              <w:t xml:space="preserve">Výdavky a prínosy uvedené </w:t>
            </w:r>
            <w:r w:rsidR="007E0FDD" w:rsidRPr="00A2504E">
              <w:rPr>
                <w:i/>
                <w:iCs/>
              </w:rPr>
              <w:lastRenderedPageBreak/>
              <w:t xml:space="preserve">v dokumentácii štúdie uskutočniteľnosti neboli v prípade výdavkov navyšované a prínosy neboli ponížené. Dokumentácia bola priebežne vypracovávaná a evidovaná v informačnom systéme META IS. Pričom na webovej stránke MDSR  </w:t>
            </w:r>
            <w:hyperlink r:id="rId7" w:history="1">
              <w:r w:rsidR="007E0FDD" w:rsidRPr="00A2504E">
                <w:rPr>
                  <w:rStyle w:val="Hypertextovprepojenie"/>
                  <w:i/>
                  <w:iCs/>
                </w:rPr>
                <w:t>https://www.mindop.sk/ministerstvo-1/doprava-3/strategia/verejna-osobna-doprava/narodny-integrovany-cestovny-listok</w:t>
              </w:r>
            </w:hyperlink>
            <w:r w:rsidR="007E0FDD" w:rsidRPr="00A2504E">
              <w:rPr>
                <w:i/>
                <w:iCs/>
              </w:rPr>
              <w:t xml:space="preserve"> je uvedená informácia o zverejnení celej dokumentácie v zmysle vyhlášky 401/2023 Z. z. </w:t>
            </w:r>
          </w:p>
        </w:tc>
      </w:tr>
      <w:tr w:rsidR="00F72566" w:rsidRPr="00415A0B" w14:paraId="794AE06F" w14:textId="77777777" w:rsidTr="00A2504E">
        <w:trPr>
          <w:trHeight w:val="330"/>
        </w:trPr>
        <w:tc>
          <w:tcPr>
            <w:tcW w:w="9220" w:type="dxa"/>
            <w:gridSpan w:val="4"/>
            <w:hideMark/>
          </w:tcPr>
          <w:p w14:paraId="79241BC9" w14:textId="77777777" w:rsidR="00F72566" w:rsidRPr="00646D50" w:rsidRDefault="00F72566" w:rsidP="0021523D">
            <w:pPr>
              <w:rPr>
                <w:b/>
                <w:bCs/>
              </w:rPr>
            </w:pPr>
            <w:r w:rsidRPr="00646D50">
              <w:rPr>
                <w:b/>
                <w:bCs/>
              </w:rPr>
              <w:lastRenderedPageBreak/>
              <w:t xml:space="preserve">Zoznam príloh a podkladov na hodnotenie </w:t>
            </w:r>
            <w:r>
              <w:rPr>
                <w:b/>
                <w:bCs/>
              </w:rPr>
              <w:t xml:space="preserve">MF SR </w:t>
            </w:r>
            <w:r w:rsidRPr="00646D50">
              <w:rPr>
                <w:b/>
                <w:bCs/>
              </w:rPr>
              <w:t>(neverejné)</w:t>
            </w:r>
          </w:p>
        </w:tc>
      </w:tr>
      <w:tr w:rsidR="00F72566" w:rsidRPr="00415A0B" w14:paraId="532B0F2A" w14:textId="77777777" w:rsidTr="00A2504E">
        <w:trPr>
          <w:trHeight w:val="344"/>
        </w:trPr>
        <w:tc>
          <w:tcPr>
            <w:tcW w:w="9220" w:type="dxa"/>
            <w:gridSpan w:val="4"/>
            <w:hideMark/>
          </w:tcPr>
          <w:p w14:paraId="4890EA40" w14:textId="77777777" w:rsidR="00F72566" w:rsidRDefault="00F72566" w:rsidP="0021523D">
            <w:pPr>
              <w:rPr>
                <w:i/>
                <w:sz w:val="18"/>
                <w:szCs w:val="18"/>
              </w:rPr>
            </w:pPr>
            <w:r w:rsidRPr="0062770E">
              <w:rPr>
                <w:i/>
                <w:sz w:val="18"/>
                <w:szCs w:val="18"/>
              </w:rPr>
              <w:t>Investor uvedie, ktoré podklady zasiela na hodnotenie MF SR. Materiály ostávanú neverejné.</w:t>
            </w:r>
          </w:p>
          <w:p w14:paraId="2466E141" w14:textId="74E43F10" w:rsidR="00807ABF" w:rsidRPr="00A2504E" w:rsidRDefault="00807ABF" w:rsidP="0021523D">
            <w:pPr>
              <w:rPr>
                <w:i/>
              </w:rPr>
            </w:pPr>
            <w:r w:rsidRPr="00A2504E">
              <w:rPr>
                <w:i/>
              </w:rPr>
              <w:t xml:space="preserve">N/A – všetky dokumenty sú verejné a zverejnené. </w:t>
            </w:r>
          </w:p>
          <w:p w14:paraId="7A7770B0" w14:textId="77777777" w:rsidR="00F72566" w:rsidRPr="0062770E" w:rsidRDefault="00F72566" w:rsidP="0021523D">
            <w:pPr>
              <w:pStyle w:val="Odsekzoznamu"/>
              <w:ind w:left="454"/>
              <w:rPr>
                <w:i/>
                <w:sz w:val="18"/>
                <w:szCs w:val="18"/>
              </w:rPr>
            </w:pPr>
          </w:p>
        </w:tc>
      </w:tr>
    </w:tbl>
    <w:p w14:paraId="35F1A895" w14:textId="77777777" w:rsidR="00F72566" w:rsidRPr="00FF3468" w:rsidRDefault="00F72566" w:rsidP="00F72566">
      <w:pPr>
        <w:spacing w:after="0"/>
        <w:rPr>
          <w:sz w:val="20"/>
          <w:szCs w:val="20"/>
        </w:rPr>
      </w:pPr>
      <w:r w:rsidRPr="00FF3468">
        <w:rPr>
          <w:sz w:val="20"/>
          <w:szCs w:val="20"/>
        </w:rPr>
        <w:t xml:space="preserve">*v prípade, že </w:t>
      </w:r>
      <w:r>
        <w:rPr>
          <w:sz w:val="20"/>
          <w:szCs w:val="20"/>
        </w:rPr>
        <w:t xml:space="preserve">je predmetom obstarávania aj prevádzka projektu (napr. pri IT projektoch) Investor uvádza celkové náklady vlastníctva (z angl.: TCO – </w:t>
      </w:r>
      <w:proofErr w:type="spellStart"/>
      <w:r w:rsidRPr="00067537">
        <w:rPr>
          <w:sz w:val="20"/>
          <w:szCs w:val="20"/>
        </w:rPr>
        <w:t>total</w:t>
      </w:r>
      <w:proofErr w:type="spellEnd"/>
      <w:r w:rsidRPr="00067537">
        <w:rPr>
          <w:sz w:val="20"/>
          <w:szCs w:val="20"/>
        </w:rPr>
        <w:t xml:space="preserve"> </w:t>
      </w:r>
      <w:proofErr w:type="spellStart"/>
      <w:r w:rsidRPr="00067537">
        <w:rPr>
          <w:sz w:val="20"/>
          <w:szCs w:val="20"/>
        </w:rPr>
        <w:t>cost</w:t>
      </w:r>
      <w:proofErr w:type="spellEnd"/>
      <w:r w:rsidRPr="00067537">
        <w:rPr>
          <w:sz w:val="20"/>
          <w:szCs w:val="20"/>
        </w:rPr>
        <w:t xml:space="preserve"> of </w:t>
      </w:r>
      <w:proofErr w:type="spellStart"/>
      <w:r w:rsidRPr="00067537">
        <w:rPr>
          <w:sz w:val="20"/>
          <w:szCs w:val="20"/>
        </w:rPr>
        <w:t>ownership</w:t>
      </w:r>
      <w:proofErr w:type="spellEnd"/>
      <w:r>
        <w:rPr>
          <w:sz w:val="20"/>
          <w:szCs w:val="20"/>
        </w:rPr>
        <w:t>)</w:t>
      </w:r>
    </w:p>
    <w:p w14:paraId="12DD2C4E" w14:textId="77777777" w:rsidR="00F72566" w:rsidRPr="00393650" w:rsidRDefault="00F72566" w:rsidP="00F72566"/>
    <w:p w14:paraId="49F96D73" w14:textId="77777777" w:rsidR="00153872" w:rsidRDefault="00153872"/>
    <w:sectPr w:rsidR="00153872" w:rsidSect="00A2504E">
      <w:footerReference w:type="default" r:id="rId8"/>
      <w:pgSz w:w="11906" w:h="16838"/>
      <w:pgMar w:top="141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8900E8" w14:textId="77777777" w:rsidR="007E45C6" w:rsidRDefault="007E45C6" w:rsidP="00F72566">
      <w:pPr>
        <w:spacing w:after="0" w:line="240" w:lineRule="auto"/>
      </w:pPr>
      <w:r>
        <w:separator/>
      </w:r>
    </w:p>
  </w:endnote>
  <w:endnote w:type="continuationSeparator" w:id="0">
    <w:p w14:paraId="5A1B2BAD" w14:textId="77777777" w:rsidR="007E45C6" w:rsidRDefault="007E45C6" w:rsidP="00F72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altName w:val="Courier New PSMT"/>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7821903"/>
      <w:docPartObj>
        <w:docPartGallery w:val="Page Numbers (Bottom of Page)"/>
        <w:docPartUnique/>
      </w:docPartObj>
    </w:sdtPr>
    <w:sdtContent>
      <w:p w14:paraId="739F74A9" w14:textId="77777777" w:rsidR="00000000" w:rsidRDefault="00F72566">
        <w:pPr>
          <w:pStyle w:val="Pta"/>
          <w:jc w:val="right"/>
        </w:pPr>
        <w:r>
          <w:t xml:space="preserve"> </w:t>
        </w:r>
      </w:p>
    </w:sdtContent>
  </w:sdt>
  <w:p w14:paraId="474B6204" w14:textId="77777777" w:rsidR="00000000" w:rsidRDefault="0000000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3B553E" w14:textId="77777777" w:rsidR="007E45C6" w:rsidRDefault="007E45C6" w:rsidP="00F72566">
      <w:pPr>
        <w:spacing w:after="0" w:line="240" w:lineRule="auto"/>
      </w:pPr>
      <w:r>
        <w:separator/>
      </w:r>
    </w:p>
  </w:footnote>
  <w:footnote w:type="continuationSeparator" w:id="0">
    <w:p w14:paraId="38A05241" w14:textId="77777777" w:rsidR="007E45C6" w:rsidRDefault="007E45C6" w:rsidP="00F725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B807F3"/>
    <w:multiLevelType w:val="hybridMultilevel"/>
    <w:tmpl w:val="3502E2C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5279042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164662998">
    <w:abstractNumId w:val="0"/>
  </w:num>
  <w:num w:numId="2" w16cid:durableId="1071999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566"/>
    <w:rsid w:val="0000645A"/>
    <w:rsid w:val="00015FA9"/>
    <w:rsid w:val="00153872"/>
    <w:rsid w:val="00253708"/>
    <w:rsid w:val="00285F2A"/>
    <w:rsid w:val="00382BAC"/>
    <w:rsid w:val="00407F85"/>
    <w:rsid w:val="00607831"/>
    <w:rsid w:val="00674D29"/>
    <w:rsid w:val="006C3B8F"/>
    <w:rsid w:val="007E0FDD"/>
    <w:rsid w:val="007E45C6"/>
    <w:rsid w:val="00807ABF"/>
    <w:rsid w:val="00841ED4"/>
    <w:rsid w:val="008A6645"/>
    <w:rsid w:val="009A176E"/>
    <w:rsid w:val="00A2504E"/>
    <w:rsid w:val="00C67446"/>
    <w:rsid w:val="00EB286B"/>
    <w:rsid w:val="00F72566"/>
    <w:rsid w:val="00F8105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9878A"/>
  <w15:chartTrackingRefBased/>
  <w15:docId w15:val="{77F5C47C-530A-459C-BB1A-922F085AA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72566"/>
    <w:pPr>
      <w:spacing w:after="200" w:line="276" w:lineRule="auto"/>
      <w:jc w:val="both"/>
    </w:pPr>
    <w:rPr>
      <w:rFonts w:ascii="Arial Narrow" w:hAnsi="Arial Narrow"/>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rsid w:val="00F72566"/>
    <w:pPr>
      <w:tabs>
        <w:tab w:val="center" w:pos="4536"/>
        <w:tab w:val="right" w:pos="9072"/>
      </w:tabs>
      <w:spacing w:after="0" w:line="240" w:lineRule="auto"/>
    </w:pPr>
  </w:style>
  <w:style w:type="character" w:customStyle="1" w:styleId="PtaChar">
    <w:name w:val="Päta Char"/>
    <w:basedOn w:val="Predvolenpsmoodseku"/>
    <w:link w:val="Pta"/>
    <w:uiPriority w:val="99"/>
    <w:rsid w:val="00F72566"/>
    <w:rPr>
      <w:rFonts w:ascii="Arial Narrow" w:hAnsi="Arial Narrow"/>
    </w:rPr>
  </w:style>
  <w:style w:type="paragraph" w:styleId="Odsekzoznamu">
    <w:name w:val="List Paragraph"/>
    <w:aliases w:val="body,Odsek zoznamu2,Obiekt,List Paragraph1,text,List Paragraph11,Bullet Number,lp1,lp11,Bullet 1,Use Case List Paragraph,Odsek,Colorful List - Accent 11,ZOZNAM"/>
    <w:basedOn w:val="Normlny"/>
    <w:link w:val="OdsekzoznamuChar"/>
    <w:uiPriority w:val="34"/>
    <w:qFormat/>
    <w:rsid w:val="00F72566"/>
    <w:pPr>
      <w:ind w:left="720"/>
      <w:contextualSpacing/>
    </w:pPr>
  </w:style>
  <w:style w:type="table" w:styleId="Mriekatabuky">
    <w:name w:val="Table Grid"/>
    <w:basedOn w:val="Normlnatabuka"/>
    <w:uiPriority w:val="39"/>
    <w:rsid w:val="00F725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is">
    <w:name w:val="caption"/>
    <w:basedOn w:val="Normlny"/>
    <w:next w:val="Normlny"/>
    <w:uiPriority w:val="35"/>
    <w:unhideWhenUsed/>
    <w:qFormat/>
    <w:rsid w:val="00F72566"/>
    <w:pPr>
      <w:keepNext/>
      <w:spacing w:after="20" w:line="240" w:lineRule="auto"/>
    </w:pPr>
    <w:rPr>
      <w:b/>
      <w:iCs/>
      <w:sz w:val="18"/>
      <w:szCs w:val="18"/>
    </w:rPr>
  </w:style>
  <w:style w:type="character" w:customStyle="1" w:styleId="OdsekzoznamuChar">
    <w:name w:val="Odsek zoznamu Char"/>
    <w:aliases w:val="body Char,Odsek zoznamu2 Char,Obiekt Char,List Paragraph1 Char,text Char,List Paragraph11 Char,Bullet Number Char,lp1 Char,lp11 Char,Bullet 1 Char,Use Case List Paragraph Char,Odsek Char,Colorful List - Accent 11 Char,ZOZNAM Char"/>
    <w:basedOn w:val="Predvolenpsmoodseku"/>
    <w:link w:val="Odsekzoznamu"/>
    <w:uiPriority w:val="34"/>
    <w:qFormat/>
    <w:rsid w:val="00F72566"/>
    <w:rPr>
      <w:rFonts w:ascii="Arial Narrow" w:hAnsi="Arial Narrow"/>
    </w:rPr>
  </w:style>
  <w:style w:type="paragraph" w:styleId="Hlavika">
    <w:name w:val="header"/>
    <w:basedOn w:val="Normlny"/>
    <w:link w:val="HlavikaChar"/>
    <w:uiPriority w:val="99"/>
    <w:unhideWhenUsed/>
    <w:rsid w:val="00F7256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72566"/>
    <w:rPr>
      <w:rFonts w:ascii="Arial Narrow" w:hAnsi="Arial Narrow"/>
    </w:rPr>
  </w:style>
  <w:style w:type="character" w:styleId="Hypertextovprepojenie">
    <w:name w:val="Hyperlink"/>
    <w:basedOn w:val="Predvolenpsmoodseku"/>
    <w:uiPriority w:val="99"/>
    <w:unhideWhenUsed/>
    <w:rsid w:val="007E0FDD"/>
    <w:rPr>
      <w:color w:val="0563C1" w:themeColor="hyperlink"/>
      <w:u w:val="single"/>
    </w:rPr>
  </w:style>
  <w:style w:type="character" w:styleId="Nevyrieenzmienka">
    <w:name w:val="Unresolved Mention"/>
    <w:basedOn w:val="Predvolenpsmoodseku"/>
    <w:uiPriority w:val="99"/>
    <w:semiHidden/>
    <w:unhideWhenUsed/>
    <w:rsid w:val="007E0F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8035324">
      <w:bodyDiv w:val="1"/>
      <w:marLeft w:val="0"/>
      <w:marRight w:val="0"/>
      <w:marTop w:val="0"/>
      <w:marBottom w:val="0"/>
      <w:divBdr>
        <w:top w:val="none" w:sz="0" w:space="0" w:color="auto"/>
        <w:left w:val="none" w:sz="0" w:space="0" w:color="auto"/>
        <w:bottom w:val="none" w:sz="0" w:space="0" w:color="auto"/>
        <w:right w:val="none" w:sz="0" w:space="0" w:color="auto"/>
      </w:divBdr>
    </w:div>
    <w:div w:id="651103203">
      <w:bodyDiv w:val="1"/>
      <w:marLeft w:val="0"/>
      <w:marRight w:val="0"/>
      <w:marTop w:val="0"/>
      <w:marBottom w:val="0"/>
      <w:divBdr>
        <w:top w:val="none" w:sz="0" w:space="0" w:color="auto"/>
        <w:left w:val="none" w:sz="0" w:space="0" w:color="auto"/>
        <w:bottom w:val="none" w:sz="0" w:space="0" w:color="auto"/>
        <w:right w:val="none" w:sz="0" w:space="0" w:color="auto"/>
      </w:divBdr>
    </w:div>
    <w:div w:id="788815778">
      <w:bodyDiv w:val="1"/>
      <w:marLeft w:val="0"/>
      <w:marRight w:val="0"/>
      <w:marTop w:val="0"/>
      <w:marBottom w:val="0"/>
      <w:divBdr>
        <w:top w:val="none" w:sz="0" w:space="0" w:color="auto"/>
        <w:left w:val="none" w:sz="0" w:space="0" w:color="auto"/>
        <w:bottom w:val="none" w:sz="0" w:space="0" w:color="auto"/>
        <w:right w:val="none" w:sz="0" w:space="0" w:color="auto"/>
      </w:divBdr>
    </w:div>
    <w:div w:id="1369377482">
      <w:bodyDiv w:val="1"/>
      <w:marLeft w:val="0"/>
      <w:marRight w:val="0"/>
      <w:marTop w:val="0"/>
      <w:marBottom w:val="0"/>
      <w:divBdr>
        <w:top w:val="none" w:sz="0" w:space="0" w:color="auto"/>
        <w:left w:val="none" w:sz="0" w:space="0" w:color="auto"/>
        <w:bottom w:val="none" w:sz="0" w:space="0" w:color="auto"/>
        <w:right w:val="none" w:sz="0" w:space="0" w:color="auto"/>
      </w:divBdr>
    </w:div>
    <w:div w:id="1642803050">
      <w:bodyDiv w:val="1"/>
      <w:marLeft w:val="0"/>
      <w:marRight w:val="0"/>
      <w:marTop w:val="0"/>
      <w:marBottom w:val="0"/>
      <w:divBdr>
        <w:top w:val="none" w:sz="0" w:space="0" w:color="auto"/>
        <w:left w:val="none" w:sz="0" w:space="0" w:color="auto"/>
        <w:bottom w:val="none" w:sz="0" w:space="0" w:color="auto"/>
        <w:right w:val="none" w:sz="0" w:space="0" w:color="auto"/>
      </w:divBdr>
    </w:div>
    <w:div w:id="1679847405">
      <w:bodyDiv w:val="1"/>
      <w:marLeft w:val="0"/>
      <w:marRight w:val="0"/>
      <w:marTop w:val="0"/>
      <w:marBottom w:val="0"/>
      <w:divBdr>
        <w:top w:val="none" w:sz="0" w:space="0" w:color="auto"/>
        <w:left w:val="none" w:sz="0" w:space="0" w:color="auto"/>
        <w:bottom w:val="none" w:sz="0" w:space="0" w:color="auto"/>
        <w:right w:val="none" w:sz="0" w:space="0" w:color="auto"/>
      </w:divBdr>
    </w:div>
    <w:div w:id="181621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mindop.sk/ministerstvo-1/doprava-3/strategia/verejna-osobna-doprava/narodny-integrovany-cestovny-listo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1000</Words>
  <Characters>5703</Characters>
  <Application>Microsoft Office Word</Application>
  <DocSecurity>0</DocSecurity>
  <Lines>47</Lines>
  <Paragraphs>13</Paragraphs>
  <ScaleCrop>false</ScaleCrop>
  <HeadingPairs>
    <vt:vector size="2" baseType="variant">
      <vt:variant>
        <vt:lpstr>Názov</vt:lpstr>
      </vt:variant>
      <vt:variant>
        <vt:i4>1</vt:i4>
      </vt:variant>
    </vt:vector>
  </HeadingPairs>
  <TitlesOfParts>
    <vt:vector size="1" baseType="lpstr">
      <vt:lpstr/>
    </vt:vector>
  </TitlesOfParts>
  <Company>Ministerstvo financii SR</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Musec Daniel</dc:creator>
  <cp:keywords/>
  <dc:description/>
  <cp:lastModifiedBy>Richard Krchnak</cp:lastModifiedBy>
  <cp:revision>4</cp:revision>
  <dcterms:created xsi:type="dcterms:W3CDTF">2024-11-04T13:55:00Z</dcterms:created>
  <dcterms:modified xsi:type="dcterms:W3CDTF">2024-11-04T15:33:00Z</dcterms:modified>
</cp:coreProperties>
</file>